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综合评议评分表</w:t>
      </w: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08"/>
        <w:gridCol w:w="7519"/>
        <w:gridCol w:w="709"/>
      </w:tblGrid>
      <w:tr>
        <w:trPr>
          <w:trHeight w:val="592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评分事项</w:t>
            </w:r>
          </w:p>
        </w:tc>
        <w:tc>
          <w:tcPr>
            <w:tcW w:w="75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评分标准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单项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分值</w:t>
            </w:r>
          </w:p>
        </w:tc>
      </w:tr>
      <w:tr>
        <w:trPr>
          <w:trHeight w:val="2303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评分内容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履约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能力</w:t>
            </w:r>
          </w:p>
        </w:tc>
        <w:tc>
          <w:tcPr>
            <w:tcW w:w="7519" w:type="dxa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意向方信誉情况: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1.意向方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无行政处罚信息记录、未被列入经营异常名录、未被列入严重违法失信企业名单(黑名单)的得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分，有其中任何一项不良信息记录的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该项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得0分。</w:t>
            </w:r>
          </w:p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以信用中国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0"/>
              </w:rPr>
              <w:t>https://www.creditchina.gov.cn/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</w:rPr>
              <w:t>查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询记录为准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复印件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需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加盖意向方公章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rPr>
          <w:trHeight w:val="2242" w:hRule="atLeast"/>
          <w:jc w:val="center"/>
        </w:trPr>
        <w:tc>
          <w:tcPr>
            <w:tcW w:w="421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9" w:type="dxa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意向方风险情况:</w:t>
            </w:r>
          </w:p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1.意向方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近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两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年无刑事案件、民事案件、行政案件、赔偿案件、执行案件以及其他案件信息记录的得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0"/>
                <w:szCs w:val="20"/>
              </w:rPr>
              <w:t>分，有其中任何一项有记录的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该项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得0分。</w:t>
            </w:r>
          </w:p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2.以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中国裁判文书网(https://wenshu.court.gov.cn/)查询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记录为准，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网站截图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需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加盖意向方公章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rPr>
          <w:trHeight w:val="2224" w:hRule="atLeast"/>
          <w:jc w:val="center"/>
        </w:trPr>
        <w:tc>
          <w:tcPr>
            <w:tcW w:w="421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资金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能力</w:t>
            </w:r>
          </w:p>
        </w:tc>
        <w:tc>
          <w:tcPr>
            <w:tcW w:w="7519" w:type="dxa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意向方的注册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资本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:</w:t>
            </w:r>
          </w:p>
          <w:p>
            <w:pPr>
              <w:spacing w:line="400" w:lineRule="exact"/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1.注册资本在100万以下的，该项不得分。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注册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资本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在100(含)万元以上，200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(不含)万元以下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的，该项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得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分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注册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资本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在200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(含)万元以上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的，该项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得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分。</w:t>
            </w:r>
          </w:p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以意向方的营业执照记载为准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复印件加盖意向方公章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</w:t>
            </w:r>
          </w:p>
        </w:tc>
      </w:tr>
      <w:tr>
        <w:trPr>
          <w:trHeight w:val="1024" w:hRule="atLeast"/>
          <w:jc w:val="center"/>
        </w:trPr>
        <w:tc>
          <w:tcPr>
            <w:tcW w:w="421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运营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经验</w:t>
            </w:r>
          </w:p>
        </w:tc>
        <w:tc>
          <w:tcPr>
            <w:tcW w:w="7519" w:type="dxa"/>
          </w:tcPr>
          <w:p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意向方拥有相关文体旅项目运营案例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提供一个案例得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分，本项最高得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2.意向方需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提供案例合同复印件等佐证资料加盖意向方公章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rPr>
          <w:trHeight w:val="2240" w:hRule="atLeast"/>
          <w:jc w:val="center"/>
        </w:trPr>
        <w:tc>
          <w:tcPr>
            <w:tcW w:w="421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运营方案及团队管理</w:t>
            </w:r>
          </w:p>
        </w:tc>
        <w:tc>
          <w:tcPr>
            <w:tcW w:w="7519" w:type="dxa"/>
          </w:tcPr>
          <w:p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意向方整体实力、服务团队、运营方案情况: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意向方自行编写运营方案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格式自拟并加盖意向方公章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运营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方案需可行有效，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理念符合招商方定位及发展方向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意向方具有履行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所必须的专业服务团队，具备良好的企业战略规划、运营管理能力。</w:t>
            </w:r>
          </w:p>
          <w:p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3.结合以上各项评判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，较好得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0分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一般得21-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较差得1-20分。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rPr>
          <w:trHeight w:val="2323" w:hRule="atLeast"/>
          <w:jc w:val="center"/>
        </w:trPr>
        <w:tc>
          <w:tcPr>
            <w:tcW w:w="421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制度管理和措施</w:t>
            </w:r>
          </w:p>
        </w:tc>
        <w:tc>
          <w:tcPr>
            <w:tcW w:w="7519" w:type="dxa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意向方制度建设情况: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意向方安全生产、特种设备、投诉处理、日常管理等制度和措施完善，且操作性强，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得3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-5分；</w:t>
            </w:r>
          </w:p>
          <w:p>
            <w:pPr>
              <w:spacing w:line="400" w:lineRule="exact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制度和措施完善，但操作性一般，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得1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-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分;</w:t>
            </w:r>
          </w:p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制度和措施不完整，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此项不得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分。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</w:t>
            </w:r>
          </w:p>
        </w:tc>
      </w:tr>
      <w:tr>
        <w:trPr>
          <w:trHeight w:val="58" w:hRule="atLeast"/>
          <w:jc w:val="center"/>
        </w:trPr>
        <w:tc>
          <w:tcPr>
            <w:tcW w:w="421" w:type="dxa"/>
            <w:vMerge w:val="continue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报价</w:t>
            </w:r>
          </w:p>
        </w:tc>
        <w:tc>
          <w:tcPr>
            <w:tcW w:w="7519" w:type="dxa"/>
          </w:tcPr>
          <w:p>
            <w:pPr>
              <w:spacing w:line="400" w:lineRule="exact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各意向方以底价700万元为基础向上报价，有效报价由高到低进行排序，最高有效报价得分30分，第二高报价得25分，第三高及以后的报价得20分。</w:t>
            </w:r>
          </w:p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若出现报价相同的情况，则按上述标准以其报价实际排序名次给予相应得分，不进行顺延(即假设三家报价，其中两家均为最高报价，则两家报价均为30分，第三家报价为25分)。</w:t>
            </w:r>
          </w:p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低于挂牌价的报价为无效报价。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30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D79"/>
    <w:rsid w:val="000A37A7"/>
    <w:rsid w:val="001E3543"/>
    <w:rsid w:val="001F4CA2"/>
    <w:rsid w:val="00302756"/>
    <w:rsid w:val="00376D0F"/>
    <w:rsid w:val="00393B14"/>
    <w:rsid w:val="003C2DE8"/>
    <w:rsid w:val="00401CC2"/>
    <w:rsid w:val="004171A8"/>
    <w:rsid w:val="00433B03"/>
    <w:rsid w:val="004604DB"/>
    <w:rsid w:val="00470163"/>
    <w:rsid w:val="00492ADA"/>
    <w:rsid w:val="004E16D4"/>
    <w:rsid w:val="00571509"/>
    <w:rsid w:val="005B52D8"/>
    <w:rsid w:val="005D7B75"/>
    <w:rsid w:val="006132A8"/>
    <w:rsid w:val="006A5A93"/>
    <w:rsid w:val="006C7BFF"/>
    <w:rsid w:val="006E5589"/>
    <w:rsid w:val="006F5359"/>
    <w:rsid w:val="007017A3"/>
    <w:rsid w:val="00757259"/>
    <w:rsid w:val="00790C7F"/>
    <w:rsid w:val="007A20D9"/>
    <w:rsid w:val="007D26C0"/>
    <w:rsid w:val="007D4598"/>
    <w:rsid w:val="007F6B67"/>
    <w:rsid w:val="0080572F"/>
    <w:rsid w:val="0084109F"/>
    <w:rsid w:val="008D6F63"/>
    <w:rsid w:val="009360D6"/>
    <w:rsid w:val="00975834"/>
    <w:rsid w:val="00A22614"/>
    <w:rsid w:val="00A93578"/>
    <w:rsid w:val="00A95A07"/>
    <w:rsid w:val="00AD2697"/>
    <w:rsid w:val="00B27185"/>
    <w:rsid w:val="00B56E3E"/>
    <w:rsid w:val="00C74D7A"/>
    <w:rsid w:val="00CE5498"/>
    <w:rsid w:val="00D256AC"/>
    <w:rsid w:val="00D63D79"/>
    <w:rsid w:val="00D83129"/>
    <w:rsid w:val="00DF658A"/>
    <w:rsid w:val="00E10771"/>
    <w:rsid w:val="00EE01CB"/>
    <w:rsid w:val="00F3691A"/>
    <w:rsid w:val="00F54B98"/>
    <w:rsid w:val="00F61A2C"/>
    <w:rsid w:val="00F8248C"/>
    <w:rsid w:val="00FD3020"/>
    <w:rsid w:val="0FB9FD94"/>
    <w:rsid w:val="41FF0416"/>
    <w:rsid w:val="77F7DD7C"/>
    <w:rsid w:val="79DFE5FD"/>
    <w:rsid w:val="7D6F64EE"/>
    <w:rsid w:val="9FF3CDAF"/>
    <w:rsid w:val="A5FFA68D"/>
    <w:rsid w:val="CE9E403A"/>
    <w:rsid w:val="D3D77F88"/>
    <w:rsid w:val="DD8C55EF"/>
    <w:rsid w:val="EF9571D5"/>
    <w:rsid w:val="EFEB302B"/>
    <w:rsid w:val="F7F4FB9F"/>
    <w:rsid w:val="FE5B3726"/>
    <w:rsid w:val="FF9E8952"/>
    <w:rsid w:val="FFFC6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997</Characters>
  <Lines>8</Lines>
  <Paragraphs>2</Paragraphs>
  <TotalTime>20</TotalTime>
  <ScaleCrop>false</ScaleCrop>
  <LinksUpToDate>false</LinksUpToDate>
  <CharactersWithSpaces>1169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2024-07-12T12:21:00Z</dcterms:created>
  <dc:creator>晓婷 贾</dc:creator>
  <cp:lastModifiedBy>郭C</cp:lastModifiedBy>
  <dcterms:modified xsi:type="dcterms:W3CDTF">2024-07-11T15:31:17Z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CE1C377398825348CF7E8F6607C8DB2C_42</vt:lpwstr>
  </property>
</Properties>
</file>