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148D">
      <w:pPr>
        <w:keepNext w:val="0"/>
        <w:keepLines w:val="0"/>
        <w:pageBreakBefore w:val="0"/>
        <w:shd w:val="clear"/>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b/>
          <w:bCs/>
          <w:sz w:val="36"/>
          <w:szCs w:val="36"/>
          <w:highlight w:val="none"/>
        </w:rPr>
      </w:pPr>
      <w:r>
        <w:rPr>
          <w:rFonts w:hint="eastAsia" w:ascii="方正小标宋简体" w:hAnsi="方正小标宋简体" w:eastAsia="方正小标宋简体" w:cs="方正小标宋简体"/>
          <w:b/>
          <w:bCs/>
          <w:sz w:val="36"/>
          <w:szCs w:val="36"/>
          <w:highlight w:val="none"/>
        </w:rPr>
        <w:t>大唐华清城房屋租赁协议</w:t>
      </w:r>
    </w:p>
    <w:p w14:paraId="1D48EC2E">
      <w:pPr>
        <w:keepNext w:val="0"/>
        <w:keepLines w:val="0"/>
        <w:pageBreakBefore w:val="0"/>
        <w:shd w:val="clear"/>
        <w:kinsoku/>
        <w:wordWrap/>
        <w:overflowPunct/>
        <w:topLinePunct w:val="0"/>
        <w:autoSpaceDE/>
        <w:autoSpaceDN/>
        <w:bidi w:val="0"/>
        <w:adjustRightInd/>
        <w:snapToGrid/>
        <w:spacing w:line="560" w:lineRule="exact"/>
        <w:ind w:left="0" w:leftChars="0"/>
        <w:textAlignment w:val="auto"/>
        <w:rPr>
          <w:rFonts w:hint="eastAsia" w:ascii="仿宋" w:hAnsi="仿宋" w:eastAsia="仿宋"/>
          <w:highlight w:val="none"/>
        </w:rPr>
      </w:pPr>
    </w:p>
    <w:p w14:paraId="3C821FC5">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甲方：西安宏兴置业有限责任公司</w:t>
      </w:r>
    </w:p>
    <w:p w14:paraId="6709AACC">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统一社会信用代码：91610133MA6U66TU4J</w:t>
      </w:r>
    </w:p>
    <w:p w14:paraId="78EA32F7">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p>
    <w:p w14:paraId="0D59BE6B">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乙方</w:t>
      </w:r>
      <w:r>
        <w:rPr>
          <w:rFonts w:hint="eastAsia" w:ascii="华文仿宋" w:hAnsi="华文仿宋" w:eastAsia="华文仿宋" w:cs="华文仿宋"/>
          <w:kern w:val="2"/>
          <w:sz w:val="28"/>
          <w:szCs w:val="28"/>
          <w:highlight w:val="none"/>
          <w:shd w:val="clear" w:color="auto" w:fill="FFFFFF"/>
          <w:lang w:val="en-US" w:eastAsia="zh-CN"/>
        </w:rPr>
        <w:t>1</w:t>
      </w:r>
      <w:r>
        <w:rPr>
          <w:rFonts w:hint="eastAsia" w:ascii="华文仿宋" w:hAnsi="华文仿宋" w:eastAsia="华文仿宋" w:cs="华文仿宋"/>
          <w:kern w:val="2"/>
          <w:sz w:val="28"/>
          <w:szCs w:val="28"/>
          <w:highlight w:val="none"/>
          <w:shd w:val="clear" w:color="auto" w:fill="FFFFFF"/>
        </w:rPr>
        <w:t>：</w:t>
      </w:r>
    </w:p>
    <w:p w14:paraId="47FAB56B">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乙方</w:t>
      </w:r>
      <w:r>
        <w:rPr>
          <w:rFonts w:hint="eastAsia" w:ascii="华文仿宋" w:hAnsi="华文仿宋" w:eastAsia="华文仿宋" w:cs="华文仿宋"/>
          <w:kern w:val="2"/>
          <w:sz w:val="28"/>
          <w:szCs w:val="28"/>
          <w:highlight w:val="none"/>
          <w:shd w:val="clear" w:color="auto" w:fill="FFFFFF"/>
          <w:lang w:val="en-US" w:eastAsia="zh-CN"/>
        </w:rPr>
        <w:t>2</w:t>
      </w:r>
      <w:r>
        <w:rPr>
          <w:rFonts w:hint="eastAsia" w:ascii="华文仿宋" w:hAnsi="华文仿宋" w:eastAsia="华文仿宋" w:cs="华文仿宋"/>
          <w:kern w:val="2"/>
          <w:sz w:val="28"/>
          <w:szCs w:val="28"/>
          <w:highlight w:val="none"/>
          <w:shd w:val="clear" w:color="auto" w:fill="FFFFFF"/>
        </w:rPr>
        <w:t>：</w:t>
      </w:r>
    </w:p>
    <w:p w14:paraId="4772DB48">
      <w:pPr>
        <w:keepNext w:val="0"/>
        <w:keepLines w:val="0"/>
        <w:pageBreakBefore w:val="0"/>
        <w:shd w:val="clear"/>
        <w:kinsoku/>
        <w:wordWrap/>
        <w:overflowPunct/>
        <w:topLinePunct w:val="0"/>
        <w:autoSpaceDE/>
        <w:autoSpaceDN/>
        <w:bidi w:val="0"/>
        <w:adjustRightInd/>
        <w:snapToGrid/>
        <w:spacing w:line="560" w:lineRule="exact"/>
        <w:ind w:left="0" w:leftChars="0"/>
        <w:textAlignment w:val="auto"/>
        <w:rPr>
          <w:rFonts w:hint="eastAsia" w:ascii="华文仿宋" w:hAnsi="华文仿宋" w:eastAsia="华文仿宋" w:cs="华文仿宋"/>
          <w:b/>
          <w:bCs/>
          <w:sz w:val="28"/>
          <w:szCs w:val="28"/>
          <w:highlight w:val="none"/>
          <w:shd w:val="clear" w:color="auto" w:fill="FFFFFF"/>
        </w:rPr>
      </w:pPr>
    </w:p>
    <w:p w14:paraId="5B547418">
      <w:pPr>
        <w:keepNext w:val="0"/>
        <w:keepLines w:val="0"/>
        <w:pageBreakBefore w:val="0"/>
        <w:shd w:val="clear"/>
        <w:kinsoku/>
        <w:wordWrap/>
        <w:overflowPunct/>
        <w:topLinePunct w:val="0"/>
        <w:autoSpaceDE/>
        <w:autoSpaceDN/>
        <w:bidi w:val="0"/>
        <w:adjustRightInd/>
        <w:snapToGrid/>
        <w:spacing w:line="560" w:lineRule="exact"/>
        <w:ind w:left="0" w:leftChars="0"/>
        <w:textAlignment w:val="auto"/>
        <w:rPr>
          <w:rFonts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鉴于：</w:t>
      </w:r>
    </w:p>
    <w:p w14:paraId="51F696DC">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1.甲方是位于陕西省西安市临潼区大唐华清城商业项目（下称“本项目”）的合法权利人，持有项目相关资产，意欲引入卓越的运营资源，盘活资产价值，实现国有资产保值增值。</w:t>
      </w:r>
    </w:p>
    <w:p w14:paraId="188AE4E3">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2.乙方</w:t>
      </w:r>
      <w:r>
        <w:rPr>
          <w:rFonts w:hint="eastAsia" w:ascii="华文仿宋" w:hAnsi="华文仿宋" w:eastAsia="华文仿宋" w:cs="华文仿宋"/>
          <w:kern w:val="2"/>
          <w:sz w:val="28"/>
          <w:szCs w:val="28"/>
          <w:highlight w:val="none"/>
          <w:shd w:val="clear" w:color="auto" w:fill="FFFFFF"/>
          <w:lang w:val="en-US" w:eastAsia="zh-CN"/>
        </w:rPr>
        <w:t>1</w:t>
      </w:r>
      <w:r>
        <w:rPr>
          <w:rFonts w:hint="eastAsia" w:ascii="华文仿宋" w:hAnsi="华文仿宋" w:eastAsia="华文仿宋" w:cs="华文仿宋"/>
          <w:kern w:val="2"/>
          <w:sz w:val="28"/>
          <w:szCs w:val="28"/>
          <w:highlight w:val="none"/>
          <w:shd w:val="clear" w:color="auto" w:fill="FFFFFF"/>
          <w:lang w:eastAsia="zh-CN"/>
        </w:rPr>
        <w:t>是</w:t>
      </w:r>
      <w:r>
        <w:rPr>
          <w:rFonts w:hint="eastAsia" w:ascii="华文仿宋" w:hAnsi="华文仿宋" w:eastAsia="华文仿宋" w:cs="华文仿宋"/>
          <w:kern w:val="2"/>
          <w:sz w:val="28"/>
          <w:szCs w:val="28"/>
          <w:highlight w:val="none"/>
          <w:shd w:val="clear" w:color="auto" w:fill="FFFFFF"/>
          <w:lang w:val="en-US" w:eastAsia="zh-CN"/>
        </w:rPr>
        <w:t>.......</w:t>
      </w:r>
      <w:r>
        <w:rPr>
          <w:rFonts w:hint="eastAsia" w:ascii="华文仿宋" w:hAnsi="华文仿宋" w:eastAsia="华文仿宋" w:cs="华文仿宋"/>
          <w:kern w:val="2"/>
          <w:sz w:val="28"/>
          <w:szCs w:val="28"/>
          <w:highlight w:val="none"/>
          <w:shd w:val="clear" w:color="auto" w:fill="FFFFFF"/>
        </w:rPr>
        <w:t>。</w:t>
      </w:r>
    </w:p>
    <w:p w14:paraId="5C34B21E">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kern w:val="2"/>
          <w:sz w:val="28"/>
          <w:szCs w:val="28"/>
          <w:highlight w:val="none"/>
          <w:shd w:val="clear" w:color="auto" w:fill="FFFFFF"/>
          <w:lang w:val="en-US" w:eastAsia="zh-CN"/>
        </w:rPr>
      </w:pPr>
      <w:r>
        <w:rPr>
          <w:rFonts w:hint="eastAsia" w:ascii="华文仿宋" w:hAnsi="华文仿宋" w:eastAsia="华文仿宋" w:cs="华文仿宋"/>
          <w:kern w:val="2"/>
          <w:sz w:val="28"/>
          <w:szCs w:val="28"/>
          <w:highlight w:val="none"/>
          <w:shd w:val="clear" w:color="auto" w:fill="FFFFFF"/>
          <w:lang w:val="en-US" w:eastAsia="zh-CN"/>
        </w:rPr>
        <w:t>3</w:t>
      </w:r>
      <w:r>
        <w:rPr>
          <w:rFonts w:hint="eastAsia" w:ascii="华文仿宋" w:hAnsi="华文仿宋" w:eastAsia="华文仿宋" w:cs="华文仿宋"/>
          <w:kern w:val="2"/>
          <w:sz w:val="28"/>
          <w:szCs w:val="28"/>
          <w:highlight w:val="none"/>
          <w:shd w:val="clear" w:color="auto" w:fill="FFFFFF"/>
        </w:rPr>
        <w:t>.乙方</w:t>
      </w:r>
      <w:r>
        <w:rPr>
          <w:rFonts w:hint="eastAsia" w:ascii="华文仿宋" w:hAnsi="华文仿宋" w:eastAsia="华文仿宋" w:cs="华文仿宋"/>
          <w:kern w:val="2"/>
          <w:sz w:val="28"/>
          <w:szCs w:val="28"/>
          <w:highlight w:val="none"/>
          <w:shd w:val="clear" w:color="auto" w:fill="FFFFFF"/>
          <w:lang w:val="en-US" w:eastAsia="zh-CN"/>
        </w:rPr>
        <w:t>2</w:t>
      </w:r>
      <w:r>
        <w:rPr>
          <w:rFonts w:hint="eastAsia" w:ascii="华文仿宋" w:hAnsi="华文仿宋" w:eastAsia="华文仿宋" w:cs="华文仿宋"/>
          <w:kern w:val="2"/>
          <w:sz w:val="28"/>
          <w:szCs w:val="28"/>
          <w:highlight w:val="none"/>
          <w:shd w:val="clear" w:color="auto" w:fill="FFFFFF"/>
          <w:lang w:eastAsia="zh-CN"/>
        </w:rPr>
        <w:t>是</w:t>
      </w:r>
      <w:r>
        <w:rPr>
          <w:rFonts w:hint="eastAsia" w:ascii="华文仿宋" w:hAnsi="华文仿宋" w:eastAsia="华文仿宋" w:cs="华文仿宋"/>
          <w:kern w:val="2"/>
          <w:sz w:val="28"/>
          <w:szCs w:val="28"/>
          <w:highlight w:val="none"/>
          <w:shd w:val="clear" w:color="auto" w:fill="FFFFFF"/>
          <w:lang w:val="en-US" w:eastAsia="zh-CN"/>
        </w:rPr>
        <w:t>.......</w:t>
      </w:r>
      <w:r>
        <w:rPr>
          <w:rFonts w:hint="eastAsia" w:ascii="华文仿宋" w:hAnsi="华文仿宋" w:eastAsia="华文仿宋" w:cs="华文仿宋"/>
          <w:kern w:val="2"/>
          <w:sz w:val="28"/>
          <w:szCs w:val="28"/>
          <w:highlight w:val="none"/>
          <w:shd w:val="clear" w:color="auto" w:fill="FFFFFF"/>
        </w:rPr>
        <w:t>。</w:t>
      </w:r>
    </w:p>
    <w:p w14:paraId="237B904A">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lang w:val="en-US" w:eastAsia="zh-CN"/>
        </w:rPr>
        <w:t>4</w:t>
      </w:r>
      <w:r>
        <w:rPr>
          <w:rFonts w:hint="eastAsia" w:ascii="华文仿宋" w:hAnsi="华文仿宋" w:eastAsia="华文仿宋" w:cs="华文仿宋"/>
          <w:kern w:val="2"/>
          <w:sz w:val="28"/>
          <w:szCs w:val="28"/>
          <w:highlight w:val="none"/>
          <w:shd w:val="clear" w:color="auto" w:fill="FFFFFF"/>
        </w:rPr>
        <w:t>.双方本着“优势互补、资源共享、风险共担、利益共享”的原则，经友好协商，决定建立战略合作关系，以租赁经营模式共同打造本项目，使其成为临潼区域文旅新地标。</w:t>
      </w:r>
    </w:p>
    <w:p w14:paraId="565B26B8">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sz w:val="28"/>
          <w:szCs w:val="28"/>
          <w:highlight w:val="none"/>
        </w:rPr>
        <w:t>根据《中华人民共和国民法典》及相关法律、法规的规定，甲方与乙方在平等、自愿、公平和诚实信用的基础上，经协商一致，就大唐华清城商业项目房屋租赁等相关事宜达成约定，订立本协议，供各方共同遵守。</w:t>
      </w:r>
    </w:p>
    <w:p w14:paraId="01E957C2">
      <w:pPr>
        <w:keepNext w:val="0"/>
        <w:keepLines w:val="0"/>
        <w:pageBreakBefore w:val="0"/>
        <w:shd w:val="clear"/>
        <w:kinsoku/>
        <w:wordWrap/>
        <w:overflowPunct/>
        <w:topLinePunct w:val="0"/>
        <w:autoSpaceDE/>
        <w:autoSpaceDN/>
        <w:bidi w:val="0"/>
        <w:adjustRightInd/>
        <w:snapToGrid/>
        <w:spacing w:line="560" w:lineRule="exact"/>
        <w:ind w:left="0" w:leftChars="0" w:firstLine="561" w:firstLineChars="200"/>
        <w:textAlignment w:val="auto"/>
        <w:rPr>
          <w:rFonts w:ascii="华文仿宋" w:hAnsi="华文仿宋" w:eastAsia="华文仿宋" w:cs="华文仿宋"/>
          <w:b/>
          <w:bCs/>
          <w:color w:val="000000"/>
          <w:sz w:val="28"/>
          <w:szCs w:val="28"/>
          <w:highlight w:val="none"/>
        </w:rPr>
      </w:pPr>
      <w:r>
        <w:rPr>
          <w:rFonts w:hint="eastAsia" w:ascii="华文仿宋" w:hAnsi="华文仿宋" w:eastAsia="华文仿宋" w:cs="Times New Roman"/>
          <w:b/>
          <w:bCs/>
          <w:color w:val="000000"/>
          <w:sz w:val="28"/>
          <w:szCs w:val="28"/>
          <w:highlight w:val="none"/>
        </w:rPr>
        <w:t xml:space="preserve">第一条 </w:t>
      </w:r>
      <w:r>
        <w:rPr>
          <w:rFonts w:hint="eastAsia" w:ascii="华文仿宋" w:hAnsi="华文仿宋" w:eastAsia="华文仿宋" w:cs="华文仿宋"/>
          <w:b/>
          <w:bCs/>
          <w:color w:val="000000"/>
          <w:sz w:val="28"/>
          <w:szCs w:val="28"/>
          <w:highlight w:val="none"/>
        </w:rPr>
        <w:t>租赁物基本情况及用途</w:t>
      </w:r>
    </w:p>
    <w:p w14:paraId="6FD86B11">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color w:val="000000"/>
          <w:sz w:val="28"/>
          <w:szCs w:val="28"/>
          <w:highlight w:val="none"/>
        </w:rPr>
        <w:t>1、本次租赁房屋包括</w:t>
      </w:r>
      <w:r>
        <w:rPr>
          <w:rFonts w:hint="eastAsia" w:ascii="华文仿宋" w:hAnsi="华文仿宋" w:eastAsia="华文仿宋" w:cs="华文仿宋"/>
          <w:kern w:val="2"/>
          <w:sz w:val="28"/>
          <w:szCs w:val="28"/>
          <w:highlight w:val="none"/>
          <w:shd w:val="clear" w:color="auto" w:fill="FFFFFF"/>
        </w:rPr>
        <w:t>大唐华清城东西区地上商业（不含骊宫坊）、地下商业（不含电影院区域）及东西区停车场，面积约67</w:t>
      </w:r>
      <w:r>
        <w:rPr>
          <w:rFonts w:hint="eastAsia" w:ascii="华文仿宋" w:hAnsi="华文仿宋" w:eastAsia="华文仿宋" w:cs="华文仿宋"/>
          <w:sz w:val="28"/>
          <w:szCs w:val="28"/>
          <w:highlight w:val="none"/>
          <w:shd w:val="clear" w:color="auto" w:fill="FFFFFF"/>
        </w:rPr>
        <w:t>,</w:t>
      </w:r>
      <w:r>
        <w:rPr>
          <w:rFonts w:hint="eastAsia" w:ascii="华文仿宋" w:hAnsi="华文仿宋" w:eastAsia="华文仿宋" w:cs="华文仿宋"/>
          <w:kern w:val="2"/>
          <w:sz w:val="28"/>
          <w:szCs w:val="28"/>
          <w:highlight w:val="none"/>
          <w:shd w:val="clear" w:color="auto" w:fill="FFFFFF"/>
        </w:rPr>
        <w:t>543.92㎡（具体如下），</w:t>
      </w:r>
      <w:r>
        <w:rPr>
          <w:rFonts w:hint="eastAsia" w:ascii="华文仿宋" w:hAnsi="华文仿宋" w:eastAsia="华文仿宋" w:cs="华文仿宋"/>
          <w:color w:val="000000"/>
          <w:sz w:val="28"/>
          <w:szCs w:val="28"/>
          <w:highlight w:val="none"/>
        </w:rPr>
        <w:t>双方同意以此为计租面积。</w:t>
      </w:r>
      <w:r>
        <w:rPr>
          <w:rFonts w:hint="eastAsia" w:ascii="华文仿宋" w:hAnsi="华文仿宋" w:eastAsia="华文仿宋" w:cs="华文仿宋"/>
          <w:kern w:val="2"/>
          <w:sz w:val="28"/>
          <w:szCs w:val="28"/>
          <w:highlight w:val="none"/>
          <w:shd w:val="clear" w:color="auto" w:fill="FFFFFF"/>
        </w:rPr>
        <w:t>其中：</w:t>
      </w:r>
    </w:p>
    <w:p w14:paraId="5C9050DB">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（1）地上商业面积9</w:t>
      </w:r>
      <w:r>
        <w:rPr>
          <w:rFonts w:hint="eastAsia" w:ascii="华文仿宋" w:hAnsi="华文仿宋" w:eastAsia="华文仿宋" w:cs="华文仿宋"/>
          <w:sz w:val="28"/>
          <w:szCs w:val="28"/>
          <w:highlight w:val="none"/>
          <w:shd w:val="clear" w:color="auto" w:fill="FFFFFF"/>
        </w:rPr>
        <w:t>,</w:t>
      </w:r>
      <w:r>
        <w:rPr>
          <w:rFonts w:hint="eastAsia" w:ascii="华文仿宋" w:hAnsi="华文仿宋" w:eastAsia="华文仿宋" w:cs="华文仿宋"/>
          <w:kern w:val="2"/>
          <w:sz w:val="28"/>
          <w:szCs w:val="28"/>
          <w:highlight w:val="none"/>
          <w:shd w:val="clear" w:color="auto" w:fill="FFFFFF"/>
        </w:rPr>
        <w:t>670.73㎡（不含骊宫坊）；</w:t>
      </w:r>
    </w:p>
    <w:p w14:paraId="277ABEB2">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（2）地下商业面积约36</w:t>
      </w:r>
      <w:r>
        <w:rPr>
          <w:rFonts w:hint="eastAsia" w:ascii="华文仿宋" w:hAnsi="华文仿宋" w:eastAsia="华文仿宋" w:cs="华文仿宋"/>
          <w:sz w:val="28"/>
          <w:szCs w:val="28"/>
          <w:highlight w:val="none"/>
          <w:shd w:val="clear" w:color="auto" w:fill="FFFFFF"/>
        </w:rPr>
        <w:t>,</w:t>
      </w:r>
      <w:r>
        <w:rPr>
          <w:rFonts w:hint="eastAsia" w:ascii="华文仿宋" w:hAnsi="华文仿宋" w:eastAsia="华文仿宋" w:cs="华文仿宋"/>
          <w:kern w:val="2"/>
          <w:sz w:val="28"/>
          <w:szCs w:val="28"/>
          <w:highlight w:val="none"/>
          <w:shd w:val="clear" w:color="auto" w:fill="FFFFFF"/>
        </w:rPr>
        <w:t>026.41㎡（不含电影院区域）；</w:t>
      </w:r>
    </w:p>
    <w:p w14:paraId="2AF2840A">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（3）东西区停车场面积约21</w:t>
      </w:r>
      <w:r>
        <w:rPr>
          <w:rFonts w:hint="eastAsia" w:ascii="华文仿宋" w:hAnsi="华文仿宋" w:eastAsia="华文仿宋" w:cs="华文仿宋"/>
          <w:sz w:val="28"/>
          <w:szCs w:val="28"/>
          <w:highlight w:val="none"/>
          <w:shd w:val="clear" w:color="auto" w:fill="FFFFFF"/>
        </w:rPr>
        <w:t>,</w:t>
      </w:r>
      <w:r>
        <w:rPr>
          <w:rFonts w:hint="eastAsia" w:ascii="华文仿宋" w:hAnsi="华文仿宋" w:eastAsia="华文仿宋" w:cs="华文仿宋"/>
          <w:kern w:val="2"/>
          <w:sz w:val="28"/>
          <w:szCs w:val="28"/>
          <w:highlight w:val="none"/>
          <w:shd w:val="clear" w:color="auto" w:fill="FFFFFF"/>
        </w:rPr>
        <w:t>846.78㎡（含东区停车场地下人防车位区域）。</w:t>
      </w:r>
    </w:p>
    <w:p w14:paraId="34C03126">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2、甲方将该房屋及附属设施、设备、家具等出租给乙方使用，具体见双方签订的房屋交接单。</w:t>
      </w:r>
    </w:p>
    <w:p w14:paraId="4C2A5D83">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b/>
          <w:bCs/>
          <w:color w:val="000000"/>
          <w:sz w:val="28"/>
          <w:szCs w:val="28"/>
          <w:highlight w:val="none"/>
        </w:rPr>
      </w:pPr>
      <w:r>
        <w:rPr>
          <w:rFonts w:hint="eastAsia" w:ascii="华文仿宋" w:hAnsi="华文仿宋" w:eastAsia="华文仿宋" w:cs="华文仿宋"/>
          <w:color w:val="000000"/>
          <w:sz w:val="28"/>
          <w:szCs w:val="28"/>
          <w:highlight w:val="none"/>
        </w:rPr>
        <w:t>3、乙方对项目进行统一规划设计、改造装修、业态规划、品牌招商、市场推广、物业管理及全面运营，业态主要包括特色餐饮、温泉娱乐、精品演艺等，经营内容如需要政府相关部门批准许可的，乙方应按规定办理审批手续；乙方不得在租赁房屋内经营易燃易爆及违反法律法规等业态。</w:t>
      </w:r>
    </w:p>
    <w:p w14:paraId="10525B36">
      <w:pPr>
        <w:keepNext w:val="0"/>
        <w:keepLines w:val="0"/>
        <w:pageBreakBefore w:val="0"/>
        <w:shd w:val="clear"/>
        <w:kinsoku/>
        <w:wordWrap/>
        <w:overflowPunct/>
        <w:topLinePunct w:val="0"/>
        <w:autoSpaceDE/>
        <w:autoSpaceDN/>
        <w:bidi w:val="0"/>
        <w:adjustRightInd/>
        <w:snapToGrid/>
        <w:spacing w:line="560" w:lineRule="exact"/>
        <w:ind w:left="0" w:leftChars="0" w:firstLine="561" w:firstLineChars="200"/>
        <w:textAlignment w:val="auto"/>
        <w:rPr>
          <w:rFonts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第二条 租赁期限</w:t>
      </w:r>
    </w:p>
    <w:p w14:paraId="4281DA51">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jc w:val="both"/>
        <w:textAlignment w:val="auto"/>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1、租赁期限为 10年，自资产实际交付之日起算（具体以双方签署</w:t>
      </w:r>
      <w:r>
        <w:rPr>
          <w:rFonts w:hint="eastAsia" w:ascii="华文仿宋" w:hAnsi="华文仿宋" w:eastAsia="华文仿宋" w:cs="华文仿宋"/>
          <w:color w:val="auto"/>
          <w:sz w:val="28"/>
          <w:szCs w:val="28"/>
          <w:highlight w:val="none"/>
          <w:lang w:eastAsia="zh-CN"/>
        </w:rPr>
        <w:t>的</w:t>
      </w:r>
      <w:r>
        <w:rPr>
          <w:rFonts w:hint="eastAsia" w:ascii="华文仿宋" w:hAnsi="华文仿宋" w:eastAsia="华文仿宋" w:cs="华文仿宋"/>
          <w:color w:val="000000"/>
          <w:sz w:val="28"/>
          <w:szCs w:val="28"/>
          <w:highlight w:val="none"/>
        </w:rPr>
        <w:t>资产移交单之日为准），租赁期限每连续满12个月，视为一个租约年。</w:t>
      </w:r>
    </w:p>
    <w:p w14:paraId="0AA13C02">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jc w:val="both"/>
        <w:textAlignment w:val="auto"/>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2、本合同签订前，乙方已完全知晓房屋、设施设备现状及使用状况，并同意甲方按照现状交付，双方应在本租赁协议签订后1个月内完成标的资产的全部盘点移交。</w:t>
      </w:r>
    </w:p>
    <w:p w14:paraId="6687BF63">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jc w:val="both"/>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color w:val="000000"/>
          <w:sz w:val="28"/>
          <w:szCs w:val="28"/>
          <w:highlight w:val="none"/>
        </w:rPr>
        <w:t>3、如乙方在承租期内无重大违约行为、重大安全生产事故等，则在同等条件下享有优先续租权10年。如乙方有继续合作意愿，应在合作期限届满前六个月向甲方提出书面续租申请，经各方同意后重新签订租赁协议。</w:t>
      </w:r>
    </w:p>
    <w:p w14:paraId="00C62EAE">
      <w:pPr>
        <w:keepNext w:val="0"/>
        <w:keepLines w:val="0"/>
        <w:pageBreakBefore w:val="0"/>
        <w:shd w:val="clear"/>
        <w:kinsoku/>
        <w:wordWrap/>
        <w:overflowPunct/>
        <w:topLinePunct w:val="0"/>
        <w:autoSpaceDE/>
        <w:autoSpaceDN/>
        <w:bidi w:val="0"/>
        <w:adjustRightInd/>
        <w:snapToGrid/>
        <w:spacing w:line="560" w:lineRule="exact"/>
        <w:ind w:left="0" w:leftChars="0"/>
        <w:textAlignment w:val="auto"/>
        <w:rPr>
          <w:rFonts w:ascii="华文仿宋" w:hAnsi="华文仿宋" w:eastAsia="华文仿宋" w:cs="华文仿宋"/>
          <w:b/>
          <w:bCs/>
          <w:color w:val="000000"/>
          <w:sz w:val="28"/>
          <w:szCs w:val="28"/>
          <w:highlight w:val="none"/>
        </w:rPr>
      </w:pPr>
      <w:r>
        <w:rPr>
          <w:rFonts w:hint="eastAsia" w:ascii="华文仿宋" w:hAnsi="华文仿宋" w:eastAsia="华文仿宋" w:cs="华文仿宋"/>
          <w:b/>
          <w:bCs/>
          <w:sz w:val="28"/>
          <w:szCs w:val="28"/>
          <w:highlight w:val="none"/>
        </w:rPr>
        <w:t>第三条 租金及履约保证金缴纳</w:t>
      </w:r>
    </w:p>
    <w:p w14:paraId="35046E31">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rPr>
        <w:t>1、履约保证金为</w:t>
      </w:r>
      <w:r>
        <w:rPr>
          <w:rFonts w:hint="eastAsia" w:ascii="华文仿宋" w:hAnsi="华文仿宋" w:eastAsia="华文仿宋" w:cs="华文仿宋"/>
          <w:sz w:val="28"/>
          <w:szCs w:val="28"/>
          <w:highlight w:val="none"/>
          <w:lang w:val="en-US" w:eastAsia="zh-CN"/>
        </w:rPr>
        <w:t>一个季度租金，共计2</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591</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144</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68元，</w:t>
      </w:r>
      <w:r>
        <w:rPr>
          <w:rFonts w:hint="eastAsia" w:ascii="华文仿宋" w:hAnsi="华文仿宋" w:eastAsia="华文仿宋" w:cs="华文仿宋"/>
          <w:sz w:val="28"/>
          <w:szCs w:val="28"/>
          <w:highlight w:val="none"/>
        </w:rPr>
        <w:t>履约保证金</w:t>
      </w:r>
      <w:r>
        <w:rPr>
          <w:rFonts w:hint="eastAsia" w:ascii="华文仿宋" w:hAnsi="华文仿宋" w:eastAsia="华文仿宋" w:cs="华文仿宋"/>
          <w:spacing w:val="-10"/>
          <w:sz w:val="28"/>
          <w:szCs w:val="28"/>
          <w:highlight w:val="none"/>
        </w:rPr>
        <w:t>由乙方</w:t>
      </w:r>
      <w:r>
        <w:rPr>
          <w:rFonts w:hint="eastAsia" w:ascii="华文仿宋" w:hAnsi="华文仿宋" w:eastAsia="华文仿宋" w:cs="华文仿宋"/>
          <w:spacing w:val="-10"/>
          <w:sz w:val="28"/>
          <w:szCs w:val="28"/>
          <w:highlight w:val="none"/>
          <w:lang w:val="en-US" w:eastAsia="zh-CN"/>
        </w:rPr>
        <w:t>按时</w:t>
      </w:r>
      <w:r>
        <w:rPr>
          <w:rFonts w:hint="eastAsia" w:ascii="华文仿宋" w:hAnsi="华文仿宋" w:eastAsia="华文仿宋" w:cs="华文仿宋"/>
          <w:spacing w:val="-10"/>
          <w:sz w:val="28"/>
          <w:szCs w:val="28"/>
          <w:highlight w:val="none"/>
        </w:rPr>
        <w:t>向甲方支付。</w:t>
      </w:r>
      <w:r>
        <w:rPr>
          <w:rFonts w:hint="eastAsia" w:ascii="华文仿宋" w:hAnsi="华文仿宋" w:eastAsia="华文仿宋" w:cs="华文仿宋"/>
          <w:sz w:val="28"/>
          <w:szCs w:val="28"/>
          <w:highlight w:val="none"/>
          <w:lang w:val="en-US" w:eastAsia="zh-CN"/>
        </w:rPr>
        <w:t>其中：</w:t>
      </w:r>
    </w:p>
    <w:p w14:paraId="1F4C5270">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（1）停车场</w:t>
      </w:r>
      <w:r>
        <w:rPr>
          <w:rFonts w:hint="eastAsia" w:ascii="华文仿宋" w:hAnsi="华文仿宋" w:eastAsia="华文仿宋" w:cs="华文仿宋"/>
          <w:sz w:val="28"/>
          <w:szCs w:val="28"/>
          <w:highlight w:val="none"/>
        </w:rPr>
        <w:t>履约保证金</w:t>
      </w:r>
      <w:r>
        <w:rPr>
          <w:rFonts w:hint="eastAsia" w:ascii="华文仿宋" w:hAnsi="华文仿宋" w:eastAsia="华文仿宋" w:cs="华文仿宋"/>
          <w:sz w:val="28"/>
          <w:szCs w:val="28"/>
          <w:highlight w:val="none"/>
          <w:lang w:val="en-US" w:eastAsia="zh-CN"/>
        </w:rPr>
        <w:t>500</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000.00元，</w:t>
      </w:r>
      <w:r>
        <w:rPr>
          <w:rFonts w:hint="eastAsia" w:ascii="华文仿宋" w:hAnsi="华文仿宋" w:eastAsia="华文仿宋" w:cs="华文仿宋"/>
          <w:spacing w:val="-10"/>
          <w:sz w:val="28"/>
          <w:szCs w:val="28"/>
          <w:highlight w:val="none"/>
          <w:lang w:val="en-US"/>
        </w:rPr>
        <w:t>在乙方向西安文化产权交易中心有限公司缴纳的保证金中扣除</w:t>
      </w:r>
      <w:r>
        <w:rPr>
          <w:rFonts w:hint="eastAsia" w:ascii="华文仿宋" w:hAnsi="华文仿宋" w:eastAsia="华文仿宋" w:cs="华文仿宋"/>
          <w:sz w:val="28"/>
          <w:szCs w:val="28"/>
          <w:highlight w:val="none"/>
          <w:lang w:val="en-US" w:eastAsia="zh-CN"/>
        </w:rPr>
        <w:t>；</w:t>
      </w:r>
    </w:p>
    <w:p w14:paraId="700BCDAE">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sz w:val="28"/>
          <w:szCs w:val="28"/>
          <w:highlight w:val="none"/>
          <w:lang w:val="en-US" w:eastAsia="zh-CN"/>
        </w:rPr>
        <w:t>（2）地上商业区</w:t>
      </w:r>
      <w:r>
        <w:rPr>
          <w:rFonts w:hint="eastAsia" w:ascii="华文仿宋" w:hAnsi="华文仿宋" w:eastAsia="华文仿宋" w:cs="华文仿宋"/>
          <w:sz w:val="28"/>
          <w:szCs w:val="28"/>
          <w:highlight w:val="none"/>
        </w:rPr>
        <w:t>履约保证金1,010,784.70元</w:t>
      </w:r>
      <w:r>
        <w:rPr>
          <w:rFonts w:hint="eastAsia" w:ascii="华文仿宋" w:hAnsi="华文仿宋" w:eastAsia="华文仿宋" w:cs="华文仿宋"/>
          <w:color w:val="000000"/>
          <w:sz w:val="28"/>
          <w:szCs w:val="28"/>
          <w:highlight w:val="none"/>
        </w:rPr>
        <w:t>，</w:t>
      </w:r>
      <w:r>
        <w:rPr>
          <w:rFonts w:hint="eastAsia" w:ascii="华文仿宋" w:hAnsi="华文仿宋" w:eastAsia="华文仿宋" w:cs="华文仿宋"/>
          <w:color w:val="000000"/>
          <w:sz w:val="28"/>
          <w:szCs w:val="28"/>
          <w:highlight w:val="none"/>
          <w:lang w:val="en-US" w:eastAsia="zh-CN"/>
        </w:rPr>
        <w:t>地上</w:t>
      </w:r>
      <w:r>
        <w:rPr>
          <w:rFonts w:hint="eastAsia" w:ascii="华文仿宋" w:hAnsi="华文仿宋" w:eastAsia="华文仿宋" w:cs="华文仿宋"/>
          <w:sz w:val="28"/>
          <w:szCs w:val="28"/>
          <w:highlight w:val="none"/>
          <w:lang w:val="en-US" w:eastAsia="zh-CN"/>
        </w:rPr>
        <w:t>商业区</w:t>
      </w:r>
      <w:r>
        <w:rPr>
          <w:rFonts w:hint="eastAsia" w:ascii="华文仿宋" w:hAnsi="华文仿宋" w:eastAsia="华文仿宋" w:cs="华文仿宋"/>
          <w:color w:val="000000"/>
          <w:sz w:val="28"/>
          <w:szCs w:val="28"/>
          <w:highlight w:val="none"/>
          <w:lang w:val="en-US" w:eastAsia="zh-CN"/>
        </w:rPr>
        <w:t>免租期结束后5个工作日内缴纳；</w:t>
      </w:r>
    </w:p>
    <w:p w14:paraId="46723BC3">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（3）地下商业区</w:t>
      </w:r>
      <w:r>
        <w:rPr>
          <w:rFonts w:hint="eastAsia" w:ascii="华文仿宋" w:hAnsi="华文仿宋" w:eastAsia="华文仿宋" w:cs="华文仿宋"/>
          <w:sz w:val="28"/>
          <w:szCs w:val="28"/>
          <w:highlight w:val="none"/>
        </w:rPr>
        <w:t>履约保证金1,0</w:t>
      </w:r>
      <w:r>
        <w:rPr>
          <w:rFonts w:hint="eastAsia" w:ascii="华文仿宋" w:hAnsi="华文仿宋" w:eastAsia="华文仿宋" w:cs="华文仿宋"/>
          <w:sz w:val="28"/>
          <w:szCs w:val="28"/>
          <w:highlight w:val="none"/>
          <w:lang w:val="en-US" w:eastAsia="zh-CN"/>
        </w:rPr>
        <w:t>8</w:t>
      </w:r>
      <w:r>
        <w:rPr>
          <w:rFonts w:hint="eastAsia" w:ascii="华文仿宋" w:hAnsi="华文仿宋" w:eastAsia="华文仿宋" w:cs="华文仿宋"/>
          <w:sz w:val="28"/>
          <w:szCs w:val="28"/>
          <w:highlight w:val="none"/>
        </w:rPr>
        <w:t>0,</w:t>
      </w:r>
      <w:r>
        <w:rPr>
          <w:rFonts w:hint="eastAsia" w:ascii="华文仿宋" w:hAnsi="华文仿宋" w:eastAsia="华文仿宋" w:cs="华文仿宋"/>
          <w:sz w:val="28"/>
          <w:szCs w:val="28"/>
          <w:highlight w:val="none"/>
          <w:lang w:val="en-US" w:eastAsia="zh-CN"/>
        </w:rPr>
        <w:t>359</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98</w:t>
      </w:r>
      <w:r>
        <w:rPr>
          <w:rFonts w:hint="eastAsia" w:ascii="华文仿宋" w:hAnsi="华文仿宋" w:eastAsia="华文仿宋" w:cs="华文仿宋"/>
          <w:sz w:val="28"/>
          <w:szCs w:val="28"/>
          <w:highlight w:val="none"/>
        </w:rPr>
        <w:t>元</w:t>
      </w:r>
      <w:r>
        <w:rPr>
          <w:rFonts w:hint="eastAsia" w:ascii="华文仿宋" w:hAnsi="华文仿宋" w:eastAsia="华文仿宋" w:cs="华文仿宋"/>
          <w:color w:val="000000"/>
          <w:sz w:val="28"/>
          <w:szCs w:val="28"/>
          <w:highlight w:val="none"/>
        </w:rPr>
        <w:t>，</w:t>
      </w:r>
      <w:r>
        <w:rPr>
          <w:rFonts w:hint="eastAsia" w:ascii="华文仿宋" w:hAnsi="华文仿宋" w:eastAsia="华文仿宋" w:cs="华文仿宋"/>
          <w:color w:val="000000"/>
          <w:sz w:val="28"/>
          <w:szCs w:val="28"/>
          <w:highlight w:val="none"/>
          <w:lang w:val="en-US" w:eastAsia="zh-CN"/>
        </w:rPr>
        <w:t>地下</w:t>
      </w:r>
      <w:r>
        <w:rPr>
          <w:rFonts w:hint="eastAsia" w:ascii="华文仿宋" w:hAnsi="华文仿宋" w:eastAsia="华文仿宋" w:cs="华文仿宋"/>
          <w:sz w:val="28"/>
          <w:szCs w:val="28"/>
          <w:highlight w:val="none"/>
          <w:lang w:val="en-US" w:eastAsia="zh-CN"/>
        </w:rPr>
        <w:t>商业区</w:t>
      </w:r>
      <w:r>
        <w:rPr>
          <w:rFonts w:hint="eastAsia" w:ascii="华文仿宋" w:hAnsi="华文仿宋" w:eastAsia="华文仿宋" w:cs="华文仿宋"/>
          <w:color w:val="000000"/>
          <w:sz w:val="28"/>
          <w:szCs w:val="28"/>
          <w:highlight w:val="none"/>
          <w:lang w:val="en-US" w:eastAsia="zh-CN"/>
        </w:rPr>
        <w:t>免租期结束后5个工作日内缴纳。</w:t>
      </w:r>
    </w:p>
    <w:p w14:paraId="793F45F1">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2、租金及支付方式</w:t>
      </w:r>
    </w:p>
    <w:p w14:paraId="4ACBD18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租金按季度支付，首期租金（共计500,000.00元）在乙方向西安文化产权交易中心有限公司缴纳的保证金中扣除，后续乙方应在每个租金支付周期开始前5个工作日内支付下一个支付周期的应付租金。平台交易费由甲、乙双方各自按照第一年</w:t>
      </w:r>
      <w:r>
        <w:rPr>
          <w:rFonts w:hint="eastAsia" w:ascii="华文仿宋" w:hAnsi="华文仿宋" w:eastAsia="华文仿宋" w:cs="华文仿宋"/>
          <w:color w:val="000000"/>
          <w:sz w:val="28"/>
          <w:szCs w:val="28"/>
          <w:highlight w:val="none"/>
          <w:lang w:eastAsia="zh-CN"/>
        </w:rPr>
        <w:t>实际缴纳</w:t>
      </w:r>
      <w:r>
        <w:rPr>
          <w:rFonts w:hint="eastAsia" w:ascii="华文仿宋" w:hAnsi="华文仿宋" w:eastAsia="华文仿宋" w:cs="华文仿宋"/>
          <w:color w:val="000000"/>
          <w:sz w:val="28"/>
          <w:szCs w:val="28"/>
          <w:highlight w:val="none"/>
        </w:rPr>
        <w:t>租金的2.5%向西安文化产权交易中心有限公司缴纳。</w:t>
      </w:r>
    </w:p>
    <w:p w14:paraId="1ECF3F1A">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hint="eastAsia" w:ascii="华文仿宋" w:hAnsi="华文仿宋" w:eastAsia="华文仿宋" w:cs="华文仿宋"/>
          <w:sz w:val="28"/>
          <w:szCs w:val="28"/>
          <w:highlight w:val="none"/>
          <w:shd w:val="clear" w:color="auto" w:fill="FFFFFF"/>
          <w:lang w:val="en-US" w:eastAsia="zh-CN"/>
        </w:rPr>
      </w:pPr>
      <w:r>
        <w:rPr>
          <w:rFonts w:hint="eastAsia" w:ascii="华文仿宋" w:hAnsi="华文仿宋" w:eastAsia="华文仿宋" w:cs="华文仿宋"/>
          <w:sz w:val="28"/>
          <w:szCs w:val="28"/>
          <w:highlight w:val="none"/>
          <w:shd w:val="clear" w:color="auto" w:fill="FFFFFF"/>
        </w:rPr>
        <w:t>地</w:t>
      </w:r>
      <w:r>
        <w:rPr>
          <w:rFonts w:hint="eastAsia" w:ascii="华文仿宋" w:hAnsi="华文仿宋" w:eastAsia="华文仿宋" w:cs="华文仿宋"/>
          <w:sz w:val="28"/>
          <w:szCs w:val="28"/>
          <w:highlight w:val="none"/>
          <w:shd w:val="clear" w:color="auto" w:fill="FFFFFF"/>
          <w:lang w:val="en-US" w:eastAsia="zh-CN"/>
        </w:rPr>
        <w:t>上商业区、</w:t>
      </w:r>
      <w:r>
        <w:rPr>
          <w:rFonts w:hint="eastAsia" w:ascii="华文仿宋" w:hAnsi="华文仿宋" w:eastAsia="华文仿宋" w:cs="华文仿宋"/>
          <w:sz w:val="28"/>
          <w:szCs w:val="28"/>
          <w:highlight w:val="none"/>
          <w:shd w:val="clear" w:color="auto" w:fill="FFFFFF"/>
        </w:rPr>
        <w:t>地下</w:t>
      </w:r>
      <w:r>
        <w:rPr>
          <w:rFonts w:hint="eastAsia" w:ascii="华文仿宋" w:hAnsi="华文仿宋" w:eastAsia="华文仿宋" w:cs="华文仿宋"/>
          <w:sz w:val="28"/>
          <w:szCs w:val="28"/>
          <w:highlight w:val="none"/>
          <w:shd w:val="clear" w:color="auto" w:fill="FFFFFF"/>
          <w:lang w:val="en-US" w:eastAsia="zh-CN"/>
        </w:rPr>
        <w:t>商业区、</w:t>
      </w:r>
      <w:r>
        <w:rPr>
          <w:rFonts w:hint="eastAsia" w:ascii="华文仿宋" w:hAnsi="华文仿宋" w:eastAsia="华文仿宋" w:cs="华文仿宋"/>
          <w:sz w:val="28"/>
          <w:szCs w:val="28"/>
          <w:highlight w:val="none"/>
          <w:shd w:val="clear" w:color="auto" w:fill="FFFFFF"/>
        </w:rPr>
        <w:t>停车场三部分租金每两年递增2%</w:t>
      </w:r>
      <w:r>
        <w:rPr>
          <w:rFonts w:hint="eastAsia" w:ascii="华文仿宋" w:hAnsi="华文仿宋" w:eastAsia="华文仿宋" w:cs="华文仿宋"/>
          <w:sz w:val="28"/>
          <w:szCs w:val="28"/>
          <w:highlight w:val="none"/>
          <w:shd w:val="clear" w:color="auto" w:fill="FFFFFF"/>
          <w:lang w:val="en-US" w:eastAsia="zh-CN"/>
        </w:rPr>
        <w:t>,租金具体如下：</w:t>
      </w:r>
      <w:r>
        <w:rPr>
          <w:rFonts w:hint="eastAsia" w:ascii="华文仿宋" w:hAnsi="华文仿宋" w:eastAsia="华文仿宋" w:cs="华文仿宋"/>
          <w:sz w:val="28"/>
          <w:szCs w:val="28"/>
          <w:highlight w:val="none"/>
          <w:shd w:val="clear" w:color="auto" w:fill="FFFFFF"/>
        </w:rPr>
        <w:t>地</w:t>
      </w:r>
      <w:r>
        <w:rPr>
          <w:rFonts w:hint="eastAsia" w:ascii="华文仿宋" w:hAnsi="华文仿宋" w:eastAsia="华文仿宋" w:cs="华文仿宋"/>
          <w:sz w:val="28"/>
          <w:szCs w:val="28"/>
          <w:highlight w:val="none"/>
          <w:shd w:val="clear" w:color="auto" w:fill="FFFFFF"/>
          <w:lang w:val="en-US" w:eastAsia="zh-CN"/>
        </w:rPr>
        <w:t>上商业区</w:t>
      </w:r>
      <w:r>
        <w:rPr>
          <w:rFonts w:hint="eastAsia" w:ascii="华文仿宋" w:hAnsi="华文仿宋" w:eastAsia="华文仿宋" w:cs="华文仿宋"/>
          <w:sz w:val="28"/>
          <w:szCs w:val="28"/>
          <w:highlight w:val="none"/>
          <w:shd w:val="clear" w:color="auto" w:fill="FFFFFF"/>
        </w:rPr>
        <w:t>施工免租期1年</w:t>
      </w:r>
      <w:r>
        <w:rPr>
          <w:rFonts w:hint="eastAsia" w:ascii="华文仿宋" w:hAnsi="华文仿宋" w:eastAsia="华文仿宋" w:cs="华文仿宋"/>
          <w:sz w:val="28"/>
          <w:szCs w:val="28"/>
          <w:highlight w:val="none"/>
          <w:shd w:val="clear" w:color="auto" w:fill="FFFFFF"/>
          <w:lang w:eastAsia="zh-CN"/>
        </w:rPr>
        <w:t>，</w:t>
      </w:r>
      <w:r>
        <w:rPr>
          <w:rFonts w:hint="eastAsia" w:ascii="华文仿宋" w:hAnsi="华文仿宋" w:eastAsia="华文仿宋" w:cs="华文仿宋"/>
          <w:sz w:val="28"/>
          <w:szCs w:val="28"/>
          <w:highlight w:val="none"/>
          <w:shd w:val="clear" w:color="auto" w:fill="FFFFFF"/>
        </w:rPr>
        <w:t>起始租金为34.84元/平米/月</w:t>
      </w:r>
      <w:r>
        <w:rPr>
          <w:rFonts w:hint="eastAsia" w:ascii="华文仿宋" w:hAnsi="华文仿宋" w:eastAsia="华文仿宋" w:cs="华文仿宋"/>
          <w:sz w:val="28"/>
          <w:szCs w:val="28"/>
          <w:highlight w:val="none"/>
          <w:shd w:val="clear" w:color="auto" w:fill="FFFFFF"/>
          <w:lang w:eastAsia="zh-CN"/>
        </w:rPr>
        <w:t>；</w:t>
      </w:r>
      <w:r>
        <w:rPr>
          <w:rFonts w:hint="eastAsia" w:ascii="华文仿宋" w:hAnsi="华文仿宋" w:eastAsia="华文仿宋" w:cs="华文仿宋"/>
          <w:sz w:val="28"/>
          <w:szCs w:val="28"/>
          <w:highlight w:val="none"/>
          <w:shd w:val="clear" w:color="auto" w:fill="FFFFFF"/>
        </w:rPr>
        <w:t>地下</w:t>
      </w:r>
      <w:r>
        <w:rPr>
          <w:rFonts w:hint="eastAsia" w:ascii="华文仿宋" w:hAnsi="华文仿宋" w:eastAsia="华文仿宋" w:cs="华文仿宋"/>
          <w:sz w:val="28"/>
          <w:szCs w:val="28"/>
          <w:highlight w:val="none"/>
          <w:shd w:val="clear" w:color="auto" w:fill="FFFFFF"/>
          <w:lang w:val="en-US" w:eastAsia="zh-CN"/>
        </w:rPr>
        <w:t>商业区</w:t>
      </w:r>
      <w:r>
        <w:rPr>
          <w:rFonts w:hint="eastAsia" w:ascii="华文仿宋" w:hAnsi="华文仿宋" w:eastAsia="华文仿宋" w:cs="华文仿宋"/>
          <w:sz w:val="28"/>
          <w:szCs w:val="28"/>
          <w:highlight w:val="none"/>
          <w:shd w:val="clear" w:color="auto" w:fill="FFFFFF"/>
        </w:rPr>
        <w:t>施工免租期2年，起始租金为9.8元/平米/月；停车场无免租期</w:t>
      </w:r>
      <w:r>
        <w:rPr>
          <w:rFonts w:hint="eastAsia" w:ascii="华文仿宋" w:hAnsi="华文仿宋" w:eastAsia="华文仿宋" w:cs="华文仿宋"/>
          <w:sz w:val="28"/>
          <w:szCs w:val="28"/>
          <w:highlight w:val="none"/>
          <w:shd w:val="clear" w:color="auto" w:fill="FFFFFF"/>
          <w:lang w:eastAsia="zh-CN"/>
        </w:rPr>
        <w:t>，</w:t>
      </w:r>
      <w:r>
        <w:rPr>
          <w:rFonts w:hint="eastAsia" w:ascii="华文仿宋" w:hAnsi="华文仿宋" w:eastAsia="华文仿宋" w:cs="华文仿宋"/>
          <w:sz w:val="28"/>
          <w:szCs w:val="28"/>
          <w:highlight w:val="none"/>
          <w:shd w:val="clear" w:color="auto" w:fill="FFFFFF"/>
        </w:rPr>
        <w:t>起始租金</w:t>
      </w:r>
      <w:r>
        <w:rPr>
          <w:rFonts w:hint="eastAsia" w:ascii="华文仿宋" w:hAnsi="华文仿宋" w:eastAsia="华文仿宋" w:cs="华文仿宋"/>
          <w:sz w:val="28"/>
          <w:szCs w:val="28"/>
          <w:highlight w:val="none"/>
          <w:shd w:val="clear" w:color="auto" w:fill="FFFFFF"/>
          <w:lang w:eastAsia="zh-CN"/>
        </w:rPr>
        <w:t>为</w:t>
      </w:r>
      <w:r>
        <w:rPr>
          <w:rFonts w:hint="eastAsia" w:ascii="华文仿宋" w:hAnsi="华文仿宋" w:eastAsia="华文仿宋" w:cs="华文仿宋"/>
          <w:sz w:val="28"/>
          <w:szCs w:val="28"/>
          <w:highlight w:val="none"/>
          <w:shd w:val="clear" w:color="auto" w:fill="FFFFFF"/>
        </w:rPr>
        <w:t>200万</w:t>
      </w:r>
      <w:r>
        <w:rPr>
          <w:rFonts w:hint="eastAsia" w:ascii="华文仿宋" w:hAnsi="华文仿宋" w:eastAsia="华文仿宋" w:cs="华文仿宋"/>
          <w:sz w:val="28"/>
          <w:szCs w:val="28"/>
          <w:highlight w:val="none"/>
          <w:shd w:val="clear" w:color="auto" w:fill="FFFFFF"/>
          <w:lang w:eastAsia="zh-CN"/>
        </w:rPr>
        <w:t>元</w:t>
      </w:r>
      <w:r>
        <w:rPr>
          <w:rFonts w:hint="eastAsia" w:ascii="华文仿宋" w:hAnsi="华文仿宋" w:eastAsia="华文仿宋" w:cs="华文仿宋"/>
          <w:sz w:val="28"/>
          <w:szCs w:val="28"/>
          <w:highlight w:val="none"/>
          <w:shd w:val="clear" w:color="auto" w:fill="FFFFFF"/>
        </w:rPr>
        <w:t>/年。</w:t>
      </w:r>
    </w:p>
    <w:p w14:paraId="27BF348D">
      <w:pPr>
        <w:keepNext w:val="0"/>
        <w:keepLines w:val="0"/>
        <w:pageBreakBefore w:val="0"/>
        <w:shd w:val="clear"/>
        <w:kinsoku/>
        <w:wordWrap/>
        <w:overflowPunct/>
        <w:topLinePunct w:val="0"/>
        <w:autoSpaceDE/>
        <w:autoSpaceDN/>
        <w:bidi w:val="0"/>
        <w:adjustRightInd/>
        <w:snapToGrid/>
        <w:spacing w:line="560" w:lineRule="exact"/>
        <w:ind w:left="0" w:leftChars="0" w:firstLine="560" w:firstLineChars="200"/>
        <w:textAlignment w:val="auto"/>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sz w:val="28"/>
          <w:szCs w:val="28"/>
          <w:highlight w:val="none"/>
          <w:shd w:val="clear" w:color="auto" w:fill="FFFFFF"/>
        </w:rPr>
        <w:t>十年内租金明细如下表所示：</w:t>
      </w:r>
    </w:p>
    <w:tbl>
      <w:tblPr>
        <w:tblStyle w:val="18"/>
        <w:tblW w:w="9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930"/>
        <w:gridCol w:w="1590"/>
        <w:gridCol w:w="1500"/>
        <w:gridCol w:w="1560"/>
        <w:gridCol w:w="1552"/>
        <w:gridCol w:w="2159"/>
      </w:tblGrid>
      <w:tr w14:paraId="2A82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D80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5C0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租约年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51F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地上区域租金</w:t>
            </w:r>
            <w:r>
              <w:rPr>
                <w:rFonts w:hint="eastAsia" w:ascii="仿宋_GB2312" w:hAnsi="仿宋_GB2312" w:eastAsia="仿宋_GB2312" w:cs="仿宋_GB2312"/>
                <w:b/>
                <w:bCs/>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b/>
                <w:bCs/>
                <w:i w:val="0"/>
                <w:iCs w:val="0"/>
                <w:color w:val="000000"/>
                <w:kern w:val="0"/>
                <w:sz w:val="18"/>
                <w:szCs w:val="18"/>
                <w:highlight w:val="none"/>
                <w:u w:val="none"/>
                <w:lang w:val="en-US" w:eastAsia="zh-CN" w:bidi="ar"/>
              </w:rPr>
              <w:t>(元/年)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FE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地下区域租金</w:t>
            </w:r>
            <w:r>
              <w:rPr>
                <w:rFonts w:hint="eastAsia" w:ascii="仿宋_GB2312" w:hAnsi="仿宋_GB2312" w:eastAsia="仿宋_GB2312" w:cs="仿宋_GB2312"/>
                <w:b/>
                <w:bCs/>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b/>
                <w:bCs/>
                <w:i w:val="0"/>
                <w:iCs w:val="0"/>
                <w:color w:val="000000"/>
                <w:kern w:val="0"/>
                <w:sz w:val="18"/>
                <w:szCs w:val="18"/>
                <w:highlight w:val="none"/>
                <w:u w:val="none"/>
                <w:lang w:val="en-US" w:eastAsia="zh-CN" w:bidi="ar"/>
              </w:rPr>
              <w:t>(元/年)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25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停车场租金</w:t>
            </w:r>
            <w:r>
              <w:rPr>
                <w:rFonts w:hint="eastAsia" w:ascii="仿宋_GB2312" w:hAnsi="仿宋_GB2312" w:eastAsia="仿宋_GB2312" w:cs="仿宋_GB2312"/>
                <w:b/>
                <w:bCs/>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b/>
                <w:bCs/>
                <w:i w:val="0"/>
                <w:iCs w:val="0"/>
                <w:color w:val="000000"/>
                <w:kern w:val="0"/>
                <w:sz w:val="18"/>
                <w:szCs w:val="18"/>
                <w:highlight w:val="none"/>
                <w:u w:val="none"/>
                <w:lang w:val="en-US" w:eastAsia="zh-CN" w:bidi="ar"/>
              </w:rPr>
              <w:t>(元/年)</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E2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年租金小计</w:t>
            </w:r>
            <w:r>
              <w:rPr>
                <w:rFonts w:hint="eastAsia" w:ascii="仿宋_GB2312" w:hAnsi="仿宋_GB2312" w:eastAsia="仿宋_GB2312" w:cs="仿宋_GB2312"/>
                <w:b/>
                <w:bCs/>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b/>
                <w:bCs/>
                <w:i w:val="0"/>
                <w:iCs w:val="0"/>
                <w:color w:val="000000"/>
                <w:kern w:val="0"/>
                <w:sz w:val="18"/>
                <w:szCs w:val="18"/>
                <w:highlight w:val="none"/>
                <w:u w:val="none"/>
                <w:lang w:val="en-US" w:eastAsia="zh-CN" w:bidi="ar"/>
              </w:rPr>
              <w:t>(元/年)</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B5F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备注</w:t>
            </w:r>
          </w:p>
        </w:tc>
      </w:tr>
      <w:tr w14:paraId="618B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331D">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5C4E">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第1年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5E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lang w:eastAsia="zh-CN"/>
              </w:rPr>
            </w:pPr>
            <w:r>
              <w:rPr>
                <w:rFonts w:hint="eastAsia" w:ascii="仿宋_GB2312" w:hAnsi="仿宋_GB2312" w:eastAsia="仿宋_GB2312" w:cs="仿宋_GB2312"/>
                <w:i w:val="0"/>
                <w:iCs w:val="0"/>
                <w:color w:val="000000"/>
                <w:sz w:val="18"/>
                <w:szCs w:val="18"/>
                <w:highlight w:val="none"/>
                <w:u w:val="none"/>
                <w:lang w:eastAsia="zh-CN"/>
              </w:rPr>
              <w:t>施工期免租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63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lang w:eastAsia="zh-CN"/>
              </w:rPr>
            </w:pPr>
            <w:r>
              <w:rPr>
                <w:rFonts w:hint="eastAsia" w:ascii="仿宋_GB2312" w:hAnsi="仿宋_GB2312" w:eastAsia="仿宋_GB2312" w:cs="仿宋_GB2312"/>
                <w:i w:val="0"/>
                <w:iCs w:val="0"/>
                <w:color w:val="000000"/>
                <w:sz w:val="18"/>
                <w:szCs w:val="18"/>
                <w:highlight w:val="none"/>
                <w:u w:val="none"/>
                <w:lang w:eastAsia="zh-CN"/>
              </w:rPr>
              <w:t>施工期免租</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AD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2,000,000.00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FB5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2,000,000.00</w:t>
            </w: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FAD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由于改造期资金投入大，施工周期长，</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地上装修改造期1年，</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地下装修改造期2年。</w:t>
            </w:r>
          </w:p>
        </w:tc>
      </w:tr>
      <w:tr w14:paraId="63C1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6881">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E4AE">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第2年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76D">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4,043,138.80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A69">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施工期免租</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2CC">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2,000,000.00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4AC">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6,061,706.60</w:t>
            </w: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CAC4">
            <w:pPr>
              <w:shd w:val="clear"/>
              <w:jc w:val="center"/>
              <w:rPr>
                <w:rFonts w:hint="eastAsia" w:ascii="仿宋_GB2312" w:hAnsi="仿宋_GB2312" w:eastAsia="仿宋_GB2312" w:cs="仿宋_GB2312"/>
                <w:i w:val="0"/>
                <w:iCs w:val="0"/>
                <w:color w:val="000000"/>
                <w:sz w:val="18"/>
                <w:szCs w:val="18"/>
                <w:highlight w:val="none"/>
                <w:u w:val="none"/>
              </w:rPr>
            </w:pPr>
          </w:p>
        </w:tc>
      </w:tr>
      <w:tr w14:paraId="644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E850">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FDF5">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第3年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9827">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4,124,001.57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8A5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4,321,439.93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4D5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2,040,000.00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20C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10,504,380.66</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240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租金增长2%</w:t>
            </w:r>
          </w:p>
        </w:tc>
      </w:tr>
      <w:tr w14:paraId="47BA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3AE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DE5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第4年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5A9B">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4,124,001.57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5305">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4,321,439.93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A5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2,040,000.00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1AD">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10,504,380.66</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4C93">
            <w:pPr>
              <w:shd w:val="clear"/>
              <w:jc w:val="center"/>
              <w:rPr>
                <w:rFonts w:hint="eastAsia" w:ascii="仿宋_GB2312" w:hAnsi="仿宋_GB2312" w:eastAsia="仿宋_GB2312" w:cs="仿宋_GB2312"/>
                <w:i w:val="0"/>
                <w:iCs w:val="0"/>
                <w:color w:val="000000"/>
                <w:sz w:val="18"/>
                <w:szCs w:val="18"/>
                <w:highlight w:val="none"/>
                <w:u w:val="none"/>
              </w:rPr>
            </w:pPr>
          </w:p>
        </w:tc>
      </w:tr>
      <w:tr w14:paraId="0820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2D5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5FF3">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第5年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CE2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4,206,481.61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FDD0">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4,407,868.73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2E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2,080,800.00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86A">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10,714,468.28</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E7BD">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租金增长2%</w:t>
            </w:r>
          </w:p>
        </w:tc>
      </w:tr>
      <w:tr w14:paraId="7D88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FD2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92CA">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第6年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26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4,206,481.61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D10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4,407,868.73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290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2,080,800.00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6041">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10,714,468.28</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0F7A">
            <w:pPr>
              <w:shd w:val="clear"/>
              <w:jc w:val="center"/>
              <w:rPr>
                <w:rFonts w:hint="eastAsia" w:ascii="仿宋_GB2312" w:hAnsi="仿宋_GB2312" w:eastAsia="仿宋_GB2312" w:cs="仿宋_GB2312"/>
                <w:i w:val="0"/>
                <w:iCs w:val="0"/>
                <w:color w:val="000000"/>
                <w:sz w:val="18"/>
                <w:szCs w:val="18"/>
                <w:highlight w:val="none"/>
                <w:u w:val="none"/>
              </w:rPr>
            </w:pPr>
            <w:bookmarkStart w:id="0" w:name="_GoBack"/>
            <w:bookmarkEnd w:id="0"/>
          </w:p>
        </w:tc>
      </w:tr>
      <w:tr w14:paraId="55F7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FB9C">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20D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第7年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89A3">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4,290,611.24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893">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4,496,026.11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49E">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2,122,416.00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6A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10,928,757.64</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2DE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租金增长2%</w:t>
            </w:r>
          </w:p>
        </w:tc>
      </w:tr>
      <w:tr w14:paraId="05A9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587">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3F75">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第8年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2CB">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4,290,611.24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5C4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4,496,026.11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90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2,122,416.00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D2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10,928,757.64</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7348">
            <w:pPr>
              <w:shd w:val="clear"/>
              <w:jc w:val="center"/>
              <w:rPr>
                <w:rFonts w:hint="eastAsia" w:ascii="仿宋_GB2312" w:hAnsi="仿宋_GB2312" w:eastAsia="仿宋_GB2312" w:cs="仿宋_GB2312"/>
                <w:i w:val="0"/>
                <w:iCs w:val="0"/>
                <w:color w:val="000000"/>
                <w:sz w:val="18"/>
                <w:szCs w:val="18"/>
                <w:highlight w:val="none"/>
                <w:u w:val="none"/>
              </w:rPr>
            </w:pPr>
          </w:p>
        </w:tc>
      </w:tr>
      <w:tr w14:paraId="04B5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E918">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9991">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第9年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5F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4,376,423.46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9D89">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4,585,946.63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825">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2,164,864.32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4C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11,147,332.80</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68F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租金增长2%</w:t>
            </w:r>
          </w:p>
        </w:tc>
      </w:tr>
      <w:tr w14:paraId="0C2C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D64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B6DB">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第10年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E54">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4,376,423.46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AE30">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4,585,946.63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126">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2,164,864.32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E6A">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11,147,332.80</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256F">
            <w:pPr>
              <w:shd w:val="clear"/>
              <w:jc w:val="center"/>
              <w:rPr>
                <w:rFonts w:hint="eastAsia" w:ascii="仿宋_GB2312" w:hAnsi="仿宋_GB2312" w:eastAsia="仿宋_GB2312" w:cs="仿宋_GB2312"/>
                <w:i w:val="0"/>
                <w:iCs w:val="0"/>
                <w:color w:val="000000"/>
                <w:sz w:val="18"/>
                <w:szCs w:val="18"/>
                <w:highlight w:val="none"/>
                <w:u w:val="none"/>
              </w:rPr>
            </w:pPr>
          </w:p>
        </w:tc>
      </w:tr>
      <w:tr w14:paraId="3459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87A5">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合计（万元）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2802">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38,038,174.56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2BF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35,622,562.79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893C">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20,816,160.64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BDFF">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sz w:val="18"/>
                <w:szCs w:val="18"/>
                <w:highlight w:val="none"/>
                <w:u w:val="none"/>
              </w:rPr>
            </w:pPr>
            <w:r>
              <w:rPr>
                <w:rFonts w:hint="eastAsia" w:ascii="仿宋_GB2312" w:hAnsi="仿宋_GB2312" w:eastAsia="仿宋_GB2312" w:cs="仿宋_GB2312"/>
                <w:i w:val="0"/>
                <w:iCs w:val="0"/>
                <w:color w:val="000000"/>
                <w:kern w:val="0"/>
                <w:sz w:val="18"/>
                <w:szCs w:val="18"/>
                <w:highlight w:val="none"/>
                <w:u w:val="none"/>
                <w:lang w:val="en-US" w:eastAsia="zh-CN" w:bidi="ar"/>
              </w:rPr>
              <w:t>94,476,897.99</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8DC1">
            <w:pPr>
              <w:shd w:val="clear"/>
              <w:jc w:val="center"/>
              <w:rPr>
                <w:rFonts w:hint="eastAsia" w:ascii="仿宋_GB2312" w:hAnsi="仿宋_GB2312" w:eastAsia="仿宋_GB2312" w:cs="仿宋_GB2312"/>
                <w:i w:val="0"/>
                <w:iCs w:val="0"/>
                <w:color w:val="000000"/>
                <w:sz w:val="18"/>
                <w:szCs w:val="18"/>
                <w:highlight w:val="none"/>
                <w:u w:val="none"/>
              </w:rPr>
            </w:pPr>
          </w:p>
        </w:tc>
      </w:tr>
    </w:tbl>
    <w:p w14:paraId="00DA41FE">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3、合同履行期间，甲方有权在履约保证金中扣除乙方应支付的各项费用，包括但不限于租金、违约金等费用；履约保证金不足时，乙方必须在接到甲方补款通知后5个工作日内补足差额。合同终止后，经双方确认无误且乙方履行了本协议约定的全部义务（包括但不限于返还租赁房屋及相关设施设备、支付租赁期限内所产生的各项应付费用）后，5个工作日内甲方将剩余履约保证金足额无息退还乙方。</w:t>
      </w:r>
    </w:p>
    <w:p w14:paraId="50225DE7">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4、甲方在收到乙方租金后向乙方提供等额增值税专用发票。</w:t>
      </w:r>
    </w:p>
    <w:p w14:paraId="51793C56">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5、乙方应将租金、保证金等应付费用汇入甲方指定账户，甲方收款账户信息如下：</w:t>
      </w:r>
    </w:p>
    <w:p w14:paraId="330C973E">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开户单位：西安宏兴置业有限责任公司</w:t>
      </w:r>
    </w:p>
    <w:p w14:paraId="051303DD">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 xml:space="preserve">开 户 行：中国建设银行股份有限公司西安曲江支行         </w:t>
      </w:r>
    </w:p>
    <w:p w14:paraId="4587DCB3">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账    号：61050191000400001066</w:t>
      </w:r>
    </w:p>
    <w:p w14:paraId="082A8756">
      <w:pPr>
        <w:keepNext w:val="0"/>
        <w:keepLines w:val="0"/>
        <w:pageBreakBefore w:val="0"/>
        <w:numPr>
          <w:ilvl w:val="255"/>
          <w:numId w:val="0"/>
        </w:numPr>
        <w:shd w:val="clear"/>
        <w:kinsoku/>
        <w:wordWrap w:val="0"/>
        <w:overflowPunct/>
        <w:topLinePunct w:val="0"/>
        <w:autoSpaceDE/>
        <w:autoSpaceDN/>
        <w:bidi w:val="0"/>
        <w:spacing w:line="560" w:lineRule="exact"/>
        <w:ind w:left="0" w:leftChars="0" w:firstLine="560" w:firstLineChars="200"/>
        <w:rPr>
          <w:rFonts w:ascii="华文仿宋" w:hAnsi="华文仿宋" w:eastAsia="华文仿宋" w:cs="华文仿宋"/>
          <w:b/>
          <w:bCs/>
          <w:sz w:val="28"/>
          <w:szCs w:val="28"/>
          <w:highlight w:val="none"/>
        </w:rPr>
      </w:pPr>
      <w:r>
        <w:rPr>
          <w:rFonts w:hint="eastAsia" w:ascii="华文仿宋" w:hAnsi="华文仿宋" w:eastAsia="华文仿宋" w:cs="华文仿宋"/>
          <w:sz w:val="28"/>
          <w:szCs w:val="28"/>
          <w:highlight w:val="none"/>
        </w:rPr>
        <w:t>6、如甲方收款账户有变动，应提前3日书面通知乙方。</w:t>
      </w:r>
    </w:p>
    <w:p w14:paraId="6296AC95">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b/>
          <w:bCs/>
          <w:sz w:val="28"/>
          <w:szCs w:val="28"/>
          <w:highlight w:val="none"/>
        </w:rPr>
      </w:pPr>
      <w:r>
        <w:rPr>
          <w:rFonts w:hint="eastAsia" w:ascii="华文仿宋" w:hAnsi="华文仿宋" w:eastAsia="华文仿宋" w:cs="华文仿宋"/>
          <w:b/>
          <w:bCs/>
          <w:color w:val="000000"/>
          <w:sz w:val="28"/>
          <w:szCs w:val="28"/>
          <w:highlight w:val="none"/>
        </w:rPr>
        <w:t xml:space="preserve">第四条 </w:t>
      </w:r>
      <w:r>
        <w:rPr>
          <w:rFonts w:hint="eastAsia" w:ascii="华文仿宋" w:hAnsi="华文仿宋" w:eastAsia="华文仿宋" w:cs="华文仿宋"/>
          <w:b/>
          <w:bCs/>
          <w:sz w:val="28"/>
          <w:szCs w:val="28"/>
          <w:highlight w:val="none"/>
        </w:rPr>
        <w:t>甲方权利、义务与承诺</w:t>
      </w:r>
    </w:p>
    <w:p w14:paraId="4967AEC3">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1、甲方确保提供的资产可用于本合同约定的商业用途，并无权利瑕疵；如有抵押或法律纠纷，需确保不影响乙方正常运营。</w:t>
      </w:r>
    </w:p>
    <w:p w14:paraId="29A8587E">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2、在乙方办理项目改造、开业及运营过程中所需的各项政府报批、与项目相关的所需文件资料、报建、验收手续、证照及牌照过程中，甲方有责任全力配合。</w:t>
      </w:r>
    </w:p>
    <w:p w14:paraId="3A579198">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3、甲方应协调地方政府关系和华清池景区，为本项目设计合理动线；</w:t>
      </w:r>
      <w:r>
        <w:rPr>
          <w:rFonts w:hint="eastAsia" w:ascii="华文仿宋" w:hAnsi="华文仿宋" w:eastAsia="华文仿宋" w:cs="华文仿宋"/>
          <w:kern w:val="2"/>
          <w:sz w:val="28"/>
          <w:szCs w:val="28"/>
          <w:highlight w:val="none"/>
          <w:shd w:val="clear" w:color="auto" w:fill="FFFFFF"/>
          <w:lang w:val="en-US" w:eastAsia="zh-CN"/>
        </w:rPr>
        <w:t>甲方承诺，指定专人沟通对接，</w:t>
      </w:r>
      <w:r>
        <w:rPr>
          <w:rFonts w:hint="eastAsia" w:ascii="华文仿宋" w:hAnsi="华文仿宋" w:eastAsia="华文仿宋" w:cs="华文仿宋"/>
          <w:kern w:val="2"/>
          <w:sz w:val="28"/>
          <w:szCs w:val="28"/>
          <w:highlight w:val="none"/>
          <w:shd w:val="clear" w:color="auto" w:fill="FFFFFF"/>
        </w:rPr>
        <w:t>为乙方运营创造良好营商环境，积极协助处理可能发生的属地化纠纷。</w:t>
      </w:r>
    </w:p>
    <w:p w14:paraId="4C795A6C">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color w:val="000000"/>
          <w:sz w:val="28"/>
          <w:szCs w:val="28"/>
          <w:highlight w:val="none"/>
        </w:rPr>
        <w:t>4、除非本协议另有规定，在乙方根据本协议的规定管理和经营</w:t>
      </w:r>
      <w:r>
        <w:rPr>
          <w:rFonts w:hint="eastAsia" w:ascii="华文仿宋" w:hAnsi="华文仿宋" w:eastAsia="华文仿宋" w:cs="华文仿宋"/>
          <w:sz w:val="28"/>
          <w:szCs w:val="28"/>
          <w:highlight w:val="none"/>
        </w:rPr>
        <w:t>租赁物</w:t>
      </w:r>
      <w:r>
        <w:rPr>
          <w:rFonts w:hint="eastAsia" w:ascii="华文仿宋" w:hAnsi="华文仿宋" w:eastAsia="华文仿宋" w:cs="华文仿宋"/>
          <w:color w:val="000000"/>
          <w:sz w:val="28"/>
          <w:szCs w:val="28"/>
          <w:highlight w:val="none"/>
        </w:rPr>
        <w:t>的前提下，甲方不应以任何不合理的方式干涉乙方的正常经营。</w:t>
      </w:r>
    </w:p>
    <w:p w14:paraId="668EB1C8">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b/>
          <w:bCs/>
          <w:sz w:val="28"/>
          <w:szCs w:val="28"/>
          <w:highlight w:val="none"/>
        </w:rPr>
      </w:pPr>
      <w:r>
        <w:rPr>
          <w:rFonts w:hint="eastAsia" w:ascii="华文仿宋" w:hAnsi="华文仿宋" w:eastAsia="华文仿宋" w:cs="华文仿宋"/>
          <w:kern w:val="2"/>
          <w:sz w:val="28"/>
          <w:szCs w:val="28"/>
          <w:highlight w:val="none"/>
          <w:shd w:val="clear" w:color="auto" w:fill="FFFFFF"/>
        </w:rPr>
        <w:t>5、甲方承诺，在同等条件下，</w:t>
      </w:r>
      <w:r>
        <w:rPr>
          <w:rFonts w:hint="eastAsia" w:ascii="华文仿宋" w:hAnsi="华文仿宋" w:eastAsia="华文仿宋" w:cs="华文仿宋"/>
          <w:kern w:val="2"/>
          <w:sz w:val="28"/>
          <w:szCs w:val="28"/>
          <w:highlight w:val="none"/>
          <w:shd w:val="clear" w:color="auto" w:fill="FFFFFF"/>
          <w:lang w:val="en-US" w:eastAsia="zh-CN"/>
        </w:rPr>
        <w:t>尽可能促成</w:t>
      </w:r>
      <w:r>
        <w:rPr>
          <w:rFonts w:hint="eastAsia" w:ascii="华文仿宋" w:hAnsi="华文仿宋" w:eastAsia="华文仿宋" w:cs="华文仿宋"/>
          <w:kern w:val="2"/>
          <w:sz w:val="28"/>
          <w:szCs w:val="28"/>
          <w:highlight w:val="none"/>
          <w:shd w:val="clear" w:color="auto" w:fill="FFFFFF"/>
        </w:rPr>
        <w:t>集团体系内其他待盘活文旅项目优先与乙方开展合作。</w:t>
      </w:r>
    </w:p>
    <w:p w14:paraId="0B47299D">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第五条 乙方权利、义务与承诺</w:t>
      </w:r>
    </w:p>
    <w:p w14:paraId="44142B5A">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1、乙方承诺，在项目装修、改造及运营期间，整体投入不少于1.6亿元人民币。乙方投入包含：</w:t>
      </w:r>
    </w:p>
    <w:p w14:paraId="54CFE1D4">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（1）直接投资：为保障项目运营需求，本协议标的资产的装修改造升级、维修维护、设备购置重置、整体物业及停车场能源系统的智能化改造升级、开业筹备等资金投入。</w:t>
      </w:r>
    </w:p>
    <w:p w14:paraId="46175C74">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（2）资源性资本投入：乙方利用其品牌、招商网络及运营平台，为项目引进</w:t>
      </w:r>
      <w:r>
        <w:rPr>
          <w:rFonts w:hint="eastAsia" w:ascii="华文仿宋" w:hAnsi="华文仿宋" w:eastAsia="华文仿宋" w:cs="华文仿宋"/>
          <w:sz w:val="28"/>
          <w:szCs w:val="28"/>
          <w:highlight w:val="none"/>
          <w:shd w:val="clear" w:color="auto" w:fill="FFFFFF"/>
        </w:rPr>
        <w:t>的</w:t>
      </w:r>
      <w:r>
        <w:rPr>
          <w:rFonts w:hint="eastAsia" w:ascii="华文仿宋" w:hAnsi="华文仿宋" w:eastAsia="华文仿宋" w:cs="华文仿宋"/>
          <w:kern w:val="2"/>
          <w:sz w:val="28"/>
          <w:szCs w:val="28"/>
          <w:highlight w:val="none"/>
          <w:shd w:val="clear" w:color="auto" w:fill="FFFFFF"/>
        </w:rPr>
        <w:t>优质商户。商户依据乙方统一规划为其承租单元所投入的装修、设备等资本性支出，是乙方招商</w:t>
      </w:r>
      <w:r>
        <w:rPr>
          <w:rFonts w:hint="eastAsia" w:ascii="华文仿宋" w:hAnsi="华文仿宋" w:eastAsia="华文仿宋" w:cs="华文仿宋"/>
          <w:spacing w:val="-6"/>
          <w:kern w:val="2"/>
          <w:sz w:val="28"/>
          <w:szCs w:val="28"/>
          <w:highlight w:val="none"/>
          <w:shd w:val="clear" w:color="auto" w:fill="FFFFFF"/>
        </w:rPr>
        <w:t>运营服务的直接成果，共同构成提升项目整体价值的核心资源</w:t>
      </w:r>
      <w:r>
        <w:rPr>
          <w:rFonts w:hint="eastAsia" w:ascii="华文仿宋" w:hAnsi="华文仿宋" w:eastAsia="华文仿宋" w:cs="华文仿宋"/>
          <w:kern w:val="2"/>
          <w:sz w:val="28"/>
          <w:szCs w:val="28"/>
          <w:highlight w:val="none"/>
          <w:shd w:val="clear" w:color="auto" w:fill="FFFFFF"/>
        </w:rPr>
        <w:t>。</w:t>
      </w:r>
    </w:p>
    <w:p w14:paraId="0942B133">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（3）运营投入：负责组建专业的运营管理团队，并承担团队薪酬、市场费用、能耗物耗等所有运营成本。</w:t>
      </w:r>
    </w:p>
    <w:p w14:paraId="5E94A9F2">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（4）无形资产投入：导入其集团资源（如知名IP授权、景区联动、内容制作及营销渠道等）为本项目持续导入客流与影响力。</w:t>
      </w:r>
    </w:p>
    <w:p w14:paraId="0848A081">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2、乙方应限期完成本项目装修改造并启动运营，其中：地上区域不超过12个月，地下区域不超过24个月，自项目移交之日起算。</w:t>
      </w:r>
    </w:p>
    <w:p w14:paraId="65422471">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3、乙方负责本项目装修改造及运营期间所需的所有手续办理，包含但不限于前期报建审批、消防验收、不同业态运营前置等相关手续办理。</w:t>
      </w:r>
    </w:p>
    <w:p w14:paraId="357CEA01">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4、乙方承担装修、改造、运营产生的一切安全生产、消防人防、信访维稳、治污减霾、卫生环保等责任。</w:t>
      </w:r>
    </w:p>
    <w:p w14:paraId="1429F1DF">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5、乙方自行承担本项目运营产生的水、电、气、暖等全部相关费用，与甲方无关。</w:t>
      </w:r>
    </w:p>
    <w:p w14:paraId="2830B2C2">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6、乙方不得以甲方名义对外借贷、以租赁房屋进行抵押和其他任何形式的担保，否则甲方有权解除本合同，并由乙方承担全部经济损失和法律责任。</w:t>
      </w:r>
    </w:p>
    <w:p w14:paraId="6F467F89">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7、承租期间，因乙方经营活动产生的纠纷，由乙方自行解决。</w:t>
      </w:r>
    </w:p>
    <w:p w14:paraId="7E979A69">
      <w:pPr>
        <w:keepNext w:val="0"/>
        <w:keepLines w:val="0"/>
        <w:pageBreakBefore w:val="0"/>
        <w:shd w:val="clear"/>
        <w:kinsoku/>
        <w:overflowPunct/>
        <w:topLinePunct w:val="0"/>
        <w:autoSpaceDE/>
        <w:autoSpaceDN/>
        <w:bidi w:val="0"/>
        <w:adjustRightInd w:val="0"/>
        <w:snapToGrid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8、乙方须在承租范围内合法文明经营，落实西安市创文、创卫等相关要求，不得利用承租场地开展任何有损公共利益、败坏社会风气及法律法规所禁止的活动，要防止并妥善处理在经营场所和经营活动中的各项纠纷和安全事故，因乙方经营导致的人身或财产损害，由乙方自行承担全部责任。</w:t>
      </w:r>
    </w:p>
    <w:p w14:paraId="190BA0DD">
      <w:pPr>
        <w:keepNext w:val="0"/>
        <w:keepLines w:val="0"/>
        <w:pageBreakBefore w:val="0"/>
        <w:shd w:val="clear"/>
        <w:kinsoku/>
        <w:overflowPunct/>
        <w:topLinePunct w:val="0"/>
        <w:autoSpaceDE/>
        <w:autoSpaceDN/>
        <w:bidi w:val="0"/>
        <w:snapToGrid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sz w:val="28"/>
          <w:szCs w:val="28"/>
          <w:highlight w:val="none"/>
        </w:rPr>
        <w:t>9、乙方应自本项目移交后及时为租赁标的物及房屋附属设施设备购买财产保险，并将投保单复印件交由甲方备案；如未按约定购买保险的，造成的一切损失和责任由乙方承担。</w:t>
      </w:r>
    </w:p>
    <w:p w14:paraId="6E26F55B">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sz w:val="28"/>
          <w:szCs w:val="28"/>
          <w:highlight w:val="none"/>
        </w:rPr>
        <w:t>10、以上未尽事宜，按照国家相关法律法规及规范性文件执行。</w:t>
      </w:r>
    </w:p>
    <w:p w14:paraId="679F914D">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b/>
          <w:bCs/>
          <w:color w:val="000000"/>
          <w:sz w:val="28"/>
          <w:szCs w:val="28"/>
          <w:highlight w:val="none"/>
        </w:rPr>
      </w:pPr>
      <w:r>
        <w:rPr>
          <w:rFonts w:hint="eastAsia" w:ascii="华文仿宋" w:hAnsi="华文仿宋" w:eastAsia="华文仿宋" w:cs="华文仿宋"/>
          <w:b/>
          <w:bCs/>
          <w:color w:val="000000"/>
          <w:sz w:val="28"/>
          <w:szCs w:val="28"/>
          <w:highlight w:val="none"/>
        </w:rPr>
        <w:t>第六条 装修改造和维修保养</w:t>
      </w:r>
    </w:p>
    <w:p w14:paraId="6F9630E1">
      <w:pPr>
        <w:keepNext w:val="0"/>
        <w:keepLines w:val="0"/>
        <w:pageBreakBefore w:val="0"/>
        <w:numPr>
          <w:ilvl w:val="255"/>
          <w:numId w:val="0"/>
        </w:numPr>
        <w:shd w:val="clear"/>
        <w:kinsoku/>
        <w:overflowPunct/>
        <w:topLinePunct w:val="0"/>
        <w:autoSpaceDE/>
        <w:autoSpaceDN/>
        <w:bidi w:val="0"/>
        <w:snapToGrid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1、租赁期内，</w:t>
      </w:r>
      <w:r>
        <w:rPr>
          <w:rFonts w:hint="eastAsia" w:ascii="华文仿宋" w:hAnsi="华文仿宋" w:eastAsia="华文仿宋" w:cs="华文仿宋"/>
          <w:color w:val="000000"/>
          <w:sz w:val="28"/>
          <w:szCs w:val="28"/>
          <w:highlight w:val="none"/>
        </w:rPr>
        <w:t>乙方不得改变、损坏房屋的主体结构，如需对</w:t>
      </w:r>
      <w:r>
        <w:rPr>
          <w:rFonts w:hint="eastAsia" w:ascii="华文仿宋" w:hAnsi="华文仿宋" w:eastAsia="华文仿宋" w:cs="华文仿宋"/>
          <w:sz w:val="28"/>
          <w:szCs w:val="28"/>
          <w:highlight w:val="none"/>
        </w:rPr>
        <w:t>房屋及附属设施、设备进行改造或装修，应严格遵守国家及地方相关规定，并</w:t>
      </w:r>
      <w:r>
        <w:rPr>
          <w:rFonts w:ascii="华文仿宋" w:hAnsi="华文仿宋" w:eastAsia="华文仿宋" w:cs="华文仿宋"/>
          <w:sz w:val="28"/>
          <w:szCs w:val="28"/>
          <w:highlight w:val="none"/>
        </w:rPr>
        <w:t>经政府主管部门审批</w:t>
      </w:r>
      <w:r>
        <w:rPr>
          <w:rFonts w:hint="eastAsia" w:ascii="华文仿宋" w:hAnsi="华文仿宋" w:eastAsia="华文仿宋" w:cs="华文仿宋"/>
          <w:sz w:val="28"/>
          <w:szCs w:val="28"/>
          <w:highlight w:val="none"/>
        </w:rPr>
        <w:t>通过后实施，乙方应在项目竣工后将相关审批、竣工资料向甲方及时备案。因乙方违规施工产生的不良后果，由乙方承担全部责任，与甲方无关。</w:t>
      </w:r>
    </w:p>
    <w:p w14:paraId="6FDE15E1">
      <w:pPr>
        <w:keepNext w:val="0"/>
        <w:keepLines w:val="0"/>
        <w:pageBreakBefore w:val="0"/>
        <w:shd w:val="clear"/>
        <w:kinsoku/>
        <w:overflowPunct/>
        <w:topLinePunct w:val="0"/>
        <w:autoSpaceDE/>
        <w:autoSpaceDN/>
        <w:bidi w:val="0"/>
        <w:adjustRightInd w:val="0"/>
        <w:snapToGrid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kern w:val="2"/>
          <w:sz w:val="28"/>
          <w:szCs w:val="28"/>
          <w:highlight w:val="none"/>
          <w:shd w:val="clear" w:color="auto" w:fill="FFFFFF"/>
        </w:rPr>
        <w:t>租赁期内，本项目涉及的房屋和附属设施、设备的装修改造、日常维护、保养、维修、更换等均由乙方负责并承担相关费用。</w:t>
      </w:r>
    </w:p>
    <w:p w14:paraId="35FA598A">
      <w:pPr>
        <w:keepNext w:val="0"/>
        <w:keepLines w:val="0"/>
        <w:pageBreakBefore w:val="0"/>
        <w:shd w:val="clear"/>
        <w:kinsoku/>
        <w:overflowPunct/>
        <w:topLinePunct w:val="0"/>
        <w:autoSpaceDE/>
        <w:autoSpaceDN/>
        <w:bidi w:val="0"/>
        <w:adjustRightInd w:val="0"/>
        <w:snapToGrid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kern w:val="2"/>
          <w:sz w:val="28"/>
          <w:szCs w:val="28"/>
          <w:highlight w:val="none"/>
          <w:shd w:val="clear" w:color="auto" w:fill="FFFFFF"/>
        </w:rPr>
        <w:t>3、因乙方不当使用、</w:t>
      </w:r>
      <w:r>
        <w:rPr>
          <w:rFonts w:hint="eastAsia" w:ascii="华文仿宋" w:hAnsi="华文仿宋" w:eastAsia="华文仿宋" w:cs="华文仿宋"/>
          <w:sz w:val="28"/>
          <w:szCs w:val="28"/>
          <w:highlight w:val="none"/>
        </w:rPr>
        <w:t>故意或过失</w:t>
      </w:r>
      <w:r>
        <w:rPr>
          <w:rFonts w:hint="eastAsia" w:ascii="华文仿宋" w:hAnsi="华文仿宋" w:eastAsia="华文仿宋" w:cs="华文仿宋"/>
          <w:kern w:val="2"/>
          <w:sz w:val="28"/>
          <w:szCs w:val="28"/>
          <w:highlight w:val="none"/>
          <w:shd w:val="clear" w:color="auto" w:fill="FFFFFF"/>
        </w:rPr>
        <w:t>导致</w:t>
      </w:r>
      <w:r>
        <w:rPr>
          <w:rFonts w:hint="eastAsia" w:ascii="华文仿宋" w:hAnsi="华文仿宋" w:eastAsia="华文仿宋" w:cs="华文仿宋"/>
          <w:sz w:val="28"/>
          <w:szCs w:val="28"/>
          <w:highlight w:val="none"/>
        </w:rPr>
        <w:t>租用</w:t>
      </w:r>
      <w:r>
        <w:rPr>
          <w:rFonts w:hint="eastAsia" w:ascii="华文仿宋" w:hAnsi="华文仿宋" w:eastAsia="华文仿宋" w:cs="华文仿宋"/>
          <w:kern w:val="2"/>
          <w:sz w:val="28"/>
          <w:szCs w:val="28"/>
          <w:highlight w:val="none"/>
          <w:shd w:val="clear" w:color="auto" w:fill="FFFFFF"/>
        </w:rPr>
        <w:t>房屋</w:t>
      </w:r>
      <w:r>
        <w:rPr>
          <w:rFonts w:hint="eastAsia" w:ascii="华文仿宋" w:hAnsi="华文仿宋" w:eastAsia="华文仿宋" w:cs="华文仿宋"/>
          <w:sz w:val="28"/>
          <w:szCs w:val="28"/>
          <w:highlight w:val="none"/>
        </w:rPr>
        <w:t>和设备毁损，或</w:t>
      </w:r>
      <w:r>
        <w:rPr>
          <w:rFonts w:hint="eastAsia" w:ascii="华文仿宋" w:hAnsi="华文仿宋" w:eastAsia="华文仿宋" w:cs="华文仿宋"/>
          <w:kern w:val="2"/>
          <w:sz w:val="28"/>
          <w:szCs w:val="28"/>
          <w:highlight w:val="none"/>
          <w:shd w:val="clear" w:color="auto" w:fill="FFFFFF"/>
        </w:rPr>
        <w:t>出现重大安全隐患，乙方应负责维修并承担全部费用。</w:t>
      </w:r>
    </w:p>
    <w:p w14:paraId="6049E643">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b/>
          <w:bCs/>
          <w:color w:val="000000"/>
          <w:sz w:val="28"/>
          <w:szCs w:val="28"/>
          <w:highlight w:val="none"/>
        </w:rPr>
      </w:pPr>
      <w:r>
        <w:rPr>
          <w:rFonts w:hint="eastAsia" w:ascii="华文仿宋" w:hAnsi="华文仿宋" w:eastAsia="华文仿宋" w:cs="华文仿宋"/>
          <w:b/>
          <w:bCs/>
          <w:color w:val="000000"/>
          <w:sz w:val="28"/>
          <w:szCs w:val="28"/>
          <w:highlight w:val="none"/>
        </w:rPr>
        <w:t>第七条 租赁期满或协议终止</w:t>
      </w:r>
    </w:p>
    <w:p w14:paraId="0E137E19">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color w:val="000000"/>
          <w:sz w:val="28"/>
          <w:szCs w:val="28"/>
          <w:highlight w:val="none"/>
        </w:rPr>
        <w:t>1、</w:t>
      </w:r>
      <w:r>
        <w:rPr>
          <w:rFonts w:hint="eastAsia" w:ascii="华文仿宋" w:hAnsi="华文仿宋" w:eastAsia="华文仿宋" w:cs="华文仿宋"/>
          <w:sz w:val="28"/>
          <w:szCs w:val="28"/>
          <w:highlight w:val="none"/>
        </w:rPr>
        <w:t>租赁期限届满或本协议终止之日起30个工作日内，乙方应搬离承租房屋，并按照交接清单相同原物向甲方移交承租的房屋及设施设备，否则，甲方有权以当年日均租金的2倍按日计取费用。</w:t>
      </w:r>
    </w:p>
    <w:p w14:paraId="1CD92BD3">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2、乙方</w:t>
      </w:r>
      <w:r>
        <w:rPr>
          <w:rFonts w:hint="eastAsia" w:ascii="华文仿宋" w:hAnsi="华文仿宋" w:eastAsia="华文仿宋" w:cs="华文仿宋"/>
          <w:color w:val="000000"/>
          <w:sz w:val="28"/>
          <w:szCs w:val="28"/>
          <w:highlight w:val="none"/>
        </w:rPr>
        <w:t>交还租赁物时，乙方添置的不可搬移的装修、改造及设施设备应无偿移交甲方所有；如有影响房屋使用功能或导致房屋后期无法正常使用的，乙方负责恢复原状。</w:t>
      </w:r>
    </w:p>
    <w:p w14:paraId="5272ED9B">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sz w:val="28"/>
          <w:szCs w:val="28"/>
          <w:highlight w:val="none"/>
        </w:rPr>
        <w:t>3、租赁期限届满或本协议终止之日起30个工作日内，乙方必须</w:t>
      </w:r>
      <w:r>
        <w:rPr>
          <w:rFonts w:hint="eastAsia" w:ascii="华文仿宋" w:hAnsi="华文仿宋" w:eastAsia="华文仿宋" w:cs="华文仿宋"/>
          <w:color w:val="000000"/>
          <w:sz w:val="28"/>
          <w:szCs w:val="28"/>
          <w:highlight w:val="none"/>
        </w:rPr>
        <w:t>结清应当承担的全部费用（包括但不限于房屋租金、水电气网、物业等所有费用）</w:t>
      </w:r>
      <w:r>
        <w:rPr>
          <w:rFonts w:hint="eastAsia" w:ascii="华文仿宋" w:hAnsi="华文仿宋" w:eastAsia="华文仿宋" w:cs="华文仿宋"/>
          <w:sz w:val="28"/>
          <w:szCs w:val="28"/>
          <w:highlight w:val="none"/>
        </w:rPr>
        <w:t>；同时注销或变更以租赁房屋为注册地的所有工商、税务等相关手续，否则甲方有权按1万元/项/月计取各项费用。</w:t>
      </w:r>
    </w:p>
    <w:p w14:paraId="1E1236BE">
      <w:pPr>
        <w:keepNext w:val="0"/>
        <w:keepLines w:val="0"/>
        <w:pageBreakBefore w:val="0"/>
        <w:shd w:val="clear"/>
        <w:kinsoku/>
        <w:overflowPunct/>
        <w:topLinePunct w:val="0"/>
        <w:autoSpaceDE/>
        <w:autoSpaceDN/>
        <w:bidi w:val="0"/>
        <w:snapToGrid w:val="0"/>
        <w:spacing w:line="560" w:lineRule="exact"/>
        <w:ind w:left="0" w:leftChars="0"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4、租赁期限届满或本协议终止时，乙方须退还下游承租方、合作方的押金、履约保证金等各项费用，对于未到期、到期未退、存在纠纷及遗留问题的商户，由乙方负责商户清退及解决遗留问题，不得影响甲方后续正常经营使用，相关责任及费用由乙方自行承担。</w:t>
      </w:r>
    </w:p>
    <w:p w14:paraId="3BCACBEC">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b/>
          <w:bCs/>
          <w:sz w:val="28"/>
          <w:szCs w:val="28"/>
          <w:highlight w:val="none"/>
          <w:shd w:val="clear" w:color="auto" w:fill="FFFFFF"/>
        </w:rPr>
      </w:pPr>
      <w:r>
        <w:rPr>
          <w:rFonts w:hint="eastAsia" w:ascii="华文仿宋" w:hAnsi="华文仿宋" w:eastAsia="华文仿宋" w:cs="华文仿宋"/>
          <w:b/>
          <w:bCs/>
          <w:kern w:val="2"/>
          <w:sz w:val="28"/>
          <w:szCs w:val="28"/>
          <w:highlight w:val="none"/>
          <w:shd w:val="clear" w:color="auto" w:fill="FFFFFF"/>
        </w:rPr>
        <w:t>第八条 违约责任</w:t>
      </w:r>
    </w:p>
    <w:p w14:paraId="6DFDFFB6">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1、若甲方提供的合作资产存在产权纠纷导致乙方无法正常运营的，乙方有权要求解除合同，甲方应赔偿乙方实际损失。</w:t>
      </w:r>
    </w:p>
    <w:p w14:paraId="4447E74C">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2、乙方应当按时支付房屋租金</w:t>
      </w:r>
      <w:r>
        <w:rPr>
          <w:rFonts w:hint="eastAsia" w:ascii="华文仿宋" w:hAnsi="华文仿宋" w:eastAsia="华文仿宋" w:cs="华文仿宋"/>
          <w:color w:val="000000"/>
          <w:sz w:val="28"/>
          <w:szCs w:val="28"/>
          <w:highlight w:val="none"/>
          <w:lang w:eastAsia="zh-CN"/>
        </w:rPr>
        <w:t>和履约保证金</w:t>
      </w:r>
      <w:r>
        <w:rPr>
          <w:rFonts w:hint="eastAsia" w:ascii="华文仿宋" w:hAnsi="华文仿宋" w:eastAsia="华文仿宋" w:cs="华文仿宋"/>
          <w:color w:val="000000"/>
          <w:sz w:val="28"/>
          <w:szCs w:val="28"/>
          <w:highlight w:val="none"/>
        </w:rPr>
        <w:t>，每逾期一天，应向甲方支付应付费用0.5</w:t>
      </w:r>
      <w:r>
        <w:rPr>
          <w:rFonts w:ascii="Arial" w:hAnsi="Arial" w:eastAsia="华文仿宋" w:cs="Arial"/>
          <w:color w:val="000000"/>
          <w:sz w:val="28"/>
          <w:szCs w:val="28"/>
          <w:highlight w:val="none"/>
        </w:rPr>
        <w:t>‰</w:t>
      </w:r>
      <w:r>
        <w:rPr>
          <w:rFonts w:hint="eastAsia" w:ascii="华文仿宋" w:hAnsi="华文仿宋" w:eastAsia="华文仿宋" w:cs="华文仿宋"/>
          <w:color w:val="000000"/>
          <w:sz w:val="28"/>
          <w:szCs w:val="28"/>
          <w:highlight w:val="none"/>
        </w:rPr>
        <w:t>的违约金。</w:t>
      </w:r>
    </w:p>
    <w:p w14:paraId="158123F5">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3、乙方有下列行为之一的，甲方有权单方解除合同，同时不予退还全部保证金，并要求乙方承担相应赔偿责任：</w:t>
      </w:r>
    </w:p>
    <w:p w14:paraId="164D1D36">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（1）逾期</w:t>
      </w:r>
      <w:r>
        <w:rPr>
          <w:rFonts w:hint="eastAsia" w:ascii="华文仿宋" w:hAnsi="华文仿宋" w:eastAsia="华文仿宋" w:cs="华文仿宋"/>
          <w:sz w:val="28"/>
          <w:szCs w:val="28"/>
          <w:highlight w:val="none"/>
        </w:rPr>
        <w:t>30个工作日以上未支付房屋租金</w:t>
      </w:r>
      <w:r>
        <w:rPr>
          <w:rFonts w:hint="eastAsia" w:ascii="华文仿宋" w:hAnsi="华文仿宋" w:eastAsia="华文仿宋" w:cs="华文仿宋"/>
          <w:color w:val="000000"/>
          <w:sz w:val="28"/>
          <w:szCs w:val="28"/>
          <w:highlight w:val="none"/>
          <w:lang w:eastAsia="zh-CN"/>
        </w:rPr>
        <w:t>和履约保证金</w:t>
      </w:r>
      <w:r>
        <w:rPr>
          <w:rFonts w:hint="eastAsia" w:ascii="华文仿宋" w:hAnsi="华文仿宋" w:eastAsia="华文仿宋" w:cs="华文仿宋"/>
          <w:sz w:val="28"/>
          <w:szCs w:val="28"/>
          <w:highlight w:val="none"/>
        </w:rPr>
        <w:t>的；</w:t>
      </w:r>
      <w:r>
        <w:rPr>
          <w:rFonts w:hint="eastAsia" w:ascii="华文仿宋" w:hAnsi="华文仿宋" w:eastAsia="华文仿宋" w:cs="华文仿宋"/>
          <w:color w:val="000000"/>
          <w:sz w:val="28"/>
          <w:szCs w:val="28"/>
          <w:highlight w:val="none"/>
        </w:rPr>
        <w:br w:type="textWrapping"/>
      </w:r>
      <w:r>
        <w:rPr>
          <w:rFonts w:hint="eastAsia" w:ascii="华文仿宋" w:hAnsi="华文仿宋" w:eastAsia="华文仿宋" w:cs="华文仿宋"/>
          <w:color w:val="000000"/>
          <w:sz w:val="28"/>
          <w:szCs w:val="28"/>
          <w:highlight w:val="none"/>
        </w:rPr>
        <w:t xml:space="preserve">    （2）未经甲方同意，改变房屋承重结构或损坏房屋主体结构，在合理期限内仍未修复的；</w:t>
      </w:r>
    </w:p>
    <w:p w14:paraId="276664BB">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（3）未经甲方同意，乙方擅自转让该房屋整体承租权的；</w:t>
      </w:r>
      <w:r>
        <w:rPr>
          <w:rFonts w:hint="eastAsia" w:ascii="华文仿宋" w:hAnsi="华文仿宋" w:eastAsia="华文仿宋" w:cs="华文仿宋"/>
          <w:color w:val="000000"/>
          <w:sz w:val="28"/>
          <w:szCs w:val="28"/>
          <w:highlight w:val="none"/>
        </w:rPr>
        <w:br w:type="textWrapping"/>
      </w:r>
      <w:r>
        <w:rPr>
          <w:rFonts w:hint="eastAsia" w:ascii="华文仿宋" w:hAnsi="华文仿宋" w:eastAsia="华文仿宋" w:cs="华文仿宋"/>
          <w:color w:val="000000"/>
          <w:sz w:val="28"/>
          <w:szCs w:val="28"/>
          <w:highlight w:val="none"/>
        </w:rPr>
        <w:t xml:space="preserve">    （4）乙方利用承租房屋进行违法活动受到相关政府部门或司法机关处罚的；</w:t>
      </w:r>
    </w:p>
    <w:p w14:paraId="1E3311AF">
      <w:pPr>
        <w:keepNext w:val="0"/>
        <w:keepLines w:val="0"/>
        <w:pageBreakBefore w:val="0"/>
        <w:numPr>
          <w:ilvl w:val="255"/>
          <w:numId w:val="0"/>
        </w:numPr>
        <w:shd w:val="clear"/>
        <w:kinsoku/>
        <w:overflowPunct/>
        <w:topLinePunct w:val="0"/>
        <w:autoSpaceDE/>
        <w:autoSpaceDN/>
        <w:bidi w:val="0"/>
        <w:spacing w:line="560" w:lineRule="exact"/>
        <w:ind w:left="0" w:leftChars="0" w:firstLine="560" w:firstLineChars="200"/>
        <w:rPr>
          <w:rFonts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color w:val="000000"/>
          <w:sz w:val="28"/>
          <w:szCs w:val="28"/>
          <w:highlight w:val="none"/>
        </w:rPr>
        <w:t>（5）乙方有其他违约行为，依照法定或约定情形甲方有权解除的。</w:t>
      </w:r>
    </w:p>
    <w:p w14:paraId="283A1F72">
      <w:pPr>
        <w:keepNext w:val="0"/>
        <w:keepLines w:val="0"/>
        <w:pageBreakBefore w:val="0"/>
        <w:shd w:val="clear"/>
        <w:kinsoku/>
        <w:overflowPunct/>
        <w:topLinePunct w:val="0"/>
        <w:autoSpaceDE/>
        <w:autoSpaceDN/>
        <w:bidi w:val="0"/>
        <w:spacing w:line="560" w:lineRule="exact"/>
        <w:ind w:left="0" w:leftChars="0" w:firstLine="561" w:firstLineChars="200"/>
        <w:rPr>
          <w:rFonts w:ascii="华文仿宋" w:hAnsi="华文仿宋" w:eastAsia="华文仿宋" w:cs="华文仿宋"/>
          <w:color w:val="000000"/>
          <w:sz w:val="28"/>
          <w:szCs w:val="28"/>
          <w:highlight w:val="none"/>
        </w:rPr>
      </w:pPr>
      <w:r>
        <w:rPr>
          <w:rFonts w:hint="eastAsia" w:ascii="华文仿宋" w:hAnsi="华文仿宋" w:eastAsia="华文仿宋" w:cs="华文仿宋"/>
          <w:b/>
          <w:bCs/>
          <w:color w:val="000000"/>
          <w:sz w:val="28"/>
          <w:szCs w:val="28"/>
          <w:highlight w:val="none"/>
        </w:rPr>
        <w:t>第</w:t>
      </w:r>
      <w:r>
        <w:rPr>
          <w:rFonts w:hint="eastAsia" w:ascii="华文仿宋" w:hAnsi="华文仿宋" w:eastAsia="华文仿宋" w:cs="华文仿宋"/>
          <w:b/>
          <w:bCs/>
          <w:color w:val="000000"/>
          <w:sz w:val="28"/>
          <w:szCs w:val="28"/>
          <w:highlight w:val="none"/>
          <w:lang w:eastAsia="zh-CN"/>
        </w:rPr>
        <w:t>九</w:t>
      </w:r>
      <w:r>
        <w:rPr>
          <w:rFonts w:hint="eastAsia" w:ascii="华文仿宋" w:hAnsi="华文仿宋" w:eastAsia="华文仿宋" w:cs="华文仿宋"/>
          <w:b/>
          <w:bCs/>
          <w:color w:val="000000"/>
          <w:sz w:val="28"/>
          <w:szCs w:val="28"/>
          <w:highlight w:val="none"/>
        </w:rPr>
        <w:t xml:space="preserve">条 </w:t>
      </w:r>
      <w:r>
        <w:rPr>
          <w:rFonts w:hint="eastAsia" w:ascii="华文仿宋" w:hAnsi="华文仿宋" w:eastAsia="华文仿宋" w:cs="华文仿宋"/>
          <w:b/>
          <w:bCs/>
          <w:sz w:val="28"/>
          <w:szCs w:val="28"/>
          <w:highlight w:val="none"/>
        </w:rPr>
        <w:t>其他</w:t>
      </w:r>
      <w:r>
        <w:rPr>
          <w:rFonts w:hint="eastAsia" w:ascii="华文仿宋" w:hAnsi="华文仿宋" w:eastAsia="华文仿宋" w:cs="华文仿宋"/>
          <w:color w:val="000000"/>
          <w:sz w:val="28"/>
          <w:szCs w:val="28"/>
          <w:highlight w:val="none"/>
        </w:rPr>
        <w:t xml:space="preserve"> </w:t>
      </w:r>
    </w:p>
    <w:p w14:paraId="05D77475">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1、本协议未尽事宜，由双方另行签订补充协议，补充协议与本协议具有同等法律效力。</w:t>
      </w:r>
    </w:p>
    <w:p w14:paraId="359B60E1">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2、</w:t>
      </w:r>
      <w:r>
        <w:rPr>
          <w:rFonts w:hint="eastAsia" w:ascii="华文仿宋" w:hAnsi="华文仿宋" w:eastAsia="华文仿宋" w:cs="华文仿宋"/>
          <w:color w:val="000000"/>
          <w:sz w:val="28"/>
          <w:szCs w:val="28"/>
          <w:highlight w:val="none"/>
        </w:rPr>
        <w:t>本协议在履行中发生争议，由甲、乙各方协商解决。</w:t>
      </w:r>
      <w:r>
        <w:rPr>
          <w:rFonts w:hint="eastAsia" w:ascii="华文仿宋" w:hAnsi="华文仿宋" w:eastAsia="华文仿宋" w:cs="华文仿宋"/>
          <w:kern w:val="2"/>
          <w:sz w:val="28"/>
          <w:szCs w:val="28"/>
          <w:highlight w:val="none"/>
          <w:shd w:val="clear" w:color="auto" w:fill="FFFFFF"/>
        </w:rPr>
        <w:t>协商不成的，</w:t>
      </w:r>
      <w:r>
        <w:rPr>
          <w:rFonts w:hint="eastAsia" w:ascii="华文仿宋" w:hAnsi="华文仿宋" w:eastAsia="华文仿宋" w:cs="华文仿宋"/>
          <w:color w:val="000000"/>
          <w:sz w:val="28"/>
          <w:szCs w:val="28"/>
          <w:highlight w:val="none"/>
        </w:rPr>
        <w:t>任何一方均</w:t>
      </w:r>
      <w:r>
        <w:rPr>
          <w:rFonts w:hint="eastAsia" w:ascii="华文仿宋" w:hAnsi="华文仿宋" w:eastAsia="华文仿宋" w:cs="华文仿宋"/>
          <w:kern w:val="2"/>
          <w:sz w:val="28"/>
          <w:szCs w:val="28"/>
          <w:highlight w:val="none"/>
          <w:shd w:val="clear" w:color="auto" w:fill="FFFFFF"/>
        </w:rPr>
        <w:t>有权向本项目所在地人民法院提起诉讼。</w:t>
      </w:r>
    </w:p>
    <w:p w14:paraId="7A695DC6">
      <w:pPr>
        <w:keepNext w:val="0"/>
        <w:keepLines w:val="0"/>
        <w:pageBreakBefore w:val="0"/>
        <w:shd w:val="clear"/>
        <w:kinsoku/>
        <w:overflowPunct/>
        <w:topLinePunct w:val="0"/>
        <w:autoSpaceDE/>
        <w:autoSpaceDN/>
        <w:bidi w:val="0"/>
        <w:spacing w:line="560" w:lineRule="exact"/>
        <w:ind w:left="0" w:leftChars="0" w:firstLine="560" w:firstLineChars="200"/>
        <w:rPr>
          <w:rFonts w:hint="eastAsia"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3、本协议一式陆份，甲、乙方各执叁份，自双方法定代表人或授权代表签字并加盖公章之日起生效。</w:t>
      </w:r>
      <w:r>
        <w:rPr>
          <w:rFonts w:hint="eastAsia" w:ascii="华文仿宋" w:hAnsi="华文仿宋" w:eastAsia="华文仿宋" w:cs="华文仿宋"/>
          <w:kern w:val="2"/>
          <w:sz w:val="28"/>
          <w:szCs w:val="28"/>
          <w:highlight w:val="none"/>
          <w:shd w:val="clear" w:color="auto" w:fill="FFFFFF"/>
          <w:lang w:eastAsia="zh-CN"/>
        </w:rPr>
        <w:t>（</w:t>
      </w:r>
      <w:r>
        <w:rPr>
          <w:rFonts w:hint="eastAsia" w:ascii="华文仿宋" w:hAnsi="华文仿宋" w:eastAsia="华文仿宋" w:cs="华文仿宋"/>
          <w:kern w:val="2"/>
          <w:sz w:val="28"/>
          <w:szCs w:val="28"/>
          <w:highlight w:val="none"/>
          <w:shd w:val="clear" w:color="auto" w:fill="FFFFFF"/>
          <w:lang w:val="en-US" w:eastAsia="zh-CN"/>
        </w:rPr>
        <w:t>以下无正文</w:t>
      </w:r>
      <w:r>
        <w:rPr>
          <w:rFonts w:hint="eastAsia" w:ascii="华文仿宋" w:hAnsi="华文仿宋" w:eastAsia="华文仿宋" w:cs="华文仿宋"/>
          <w:kern w:val="2"/>
          <w:sz w:val="28"/>
          <w:szCs w:val="28"/>
          <w:highlight w:val="none"/>
          <w:shd w:val="clear" w:color="auto" w:fill="FFFFFF"/>
          <w:lang w:eastAsia="zh-CN"/>
        </w:rPr>
        <w:t>）</w:t>
      </w:r>
    </w:p>
    <w:p w14:paraId="51412EA3">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（此页为签署页）</w:t>
      </w:r>
    </w:p>
    <w:p w14:paraId="4CA6F5EF">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p>
    <w:p w14:paraId="3C35C00B">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p>
    <w:p w14:paraId="75154740">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甲方（盖章）： 西安宏兴置业有限责任公司</w:t>
      </w:r>
    </w:p>
    <w:p w14:paraId="4C5B599C">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法人（或授权代表）签字： </w:t>
      </w:r>
    </w:p>
    <w:p w14:paraId="67899D25">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p>
    <w:p w14:paraId="255E8EBA">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p>
    <w:p w14:paraId="379639D5">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p>
    <w:p w14:paraId="5778DC3F">
      <w:pPr>
        <w:keepNext w:val="0"/>
        <w:keepLines w:val="0"/>
        <w:pageBreakBefore w:val="0"/>
        <w:shd w:val="clear"/>
        <w:kinsoku/>
        <w:overflowPunct/>
        <w:topLinePunct w:val="0"/>
        <w:autoSpaceDE/>
        <w:autoSpaceDN/>
        <w:bidi w:val="0"/>
        <w:spacing w:line="560" w:lineRule="exact"/>
        <w:ind w:left="0" w:leftChars="0"/>
        <w:rPr>
          <w:rFonts w:hint="eastAsia" w:ascii="华文仿宋" w:hAnsi="华文仿宋" w:eastAsia="华文仿宋" w:cs="华文仿宋"/>
          <w:kern w:val="2"/>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乙方（盖章）： </w:t>
      </w:r>
    </w:p>
    <w:p w14:paraId="30994ACE">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法人（或授权代表）签字： </w:t>
      </w:r>
    </w:p>
    <w:p w14:paraId="03D79642">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p>
    <w:p w14:paraId="00AC1827">
      <w:pPr>
        <w:pStyle w:val="23"/>
        <w:keepNext w:val="0"/>
        <w:keepLines w:val="0"/>
        <w:pageBreakBefore w:val="0"/>
        <w:shd w:val="clear"/>
        <w:kinsoku/>
        <w:overflowPunct/>
        <w:topLinePunct w:val="0"/>
        <w:autoSpaceDE/>
        <w:autoSpaceDN/>
        <w:bidi w:val="0"/>
        <w:spacing w:after="0" w:line="560" w:lineRule="exact"/>
        <w:ind w:left="560" w:leftChars="0" w:hanging="560"/>
        <w:rPr>
          <w:rFonts w:ascii="华文仿宋" w:hAnsi="华文仿宋" w:eastAsia="华文仿宋" w:cs="华文仿宋"/>
          <w:sz w:val="28"/>
          <w:szCs w:val="28"/>
          <w:highlight w:val="none"/>
        </w:rPr>
      </w:pPr>
    </w:p>
    <w:p w14:paraId="65275028">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rPr>
      </w:pPr>
    </w:p>
    <w:p w14:paraId="224993E6">
      <w:pPr>
        <w:keepNext w:val="0"/>
        <w:keepLines w:val="0"/>
        <w:pageBreakBefore w:val="0"/>
        <w:shd w:val="clear"/>
        <w:kinsoku/>
        <w:overflowPunct/>
        <w:topLinePunct w:val="0"/>
        <w:autoSpaceDE/>
        <w:autoSpaceDN/>
        <w:bidi w:val="0"/>
        <w:spacing w:line="560" w:lineRule="exact"/>
        <w:ind w:left="0" w:leftChars="0" w:firstLine="560" w:firstLineChars="200"/>
        <w:rPr>
          <w:rFonts w:ascii="华文仿宋" w:hAnsi="华文仿宋" w:eastAsia="华文仿宋" w:cs="华文仿宋"/>
          <w:sz w:val="28"/>
          <w:szCs w:val="28"/>
          <w:highlight w:val="none"/>
          <w:shd w:val="clear" w:color="auto" w:fill="FFFFFF"/>
        </w:rPr>
      </w:pPr>
    </w:p>
    <w:p w14:paraId="7BBBB34C">
      <w:pPr>
        <w:pStyle w:val="23"/>
        <w:keepNext w:val="0"/>
        <w:keepLines w:val="0"/>
        <w:pageBreakBefore w:val="0"/>
        <w:shd w:val="clear"/>
        <w:kinsoku/>
        <w:overflowPunct/>
        <w:topLinePunct w:val="0"/>
        <w:autoSpaceDE/>
        <w:autoSpaceDN/>
        <w:bidi w:val="0"/>
        <w:spacing w:after="0" w:line="560" w:lineRule="exact"/>
        <w:ind w:left="560" w:leftChars="0" w:hanging="560"/>
        <w:rPr>
          <w:rFonts w:ascii="华文仿宋" w:hAnsi="华文仿宋" w:eastAsia="华文仿宋" w:cs="华文仿宋"/>
          <w:sz w:val="28"/>
          <w:szCs w:val="28"/>
          <w:highlight w:val="none"/>
        </w:rPr>
      </w:pPr>
    </w:p>
    <w:p w14:paraId="6ADA5528">
      <w:pPr>
        <w:keepNext w:val="0"/>
        <w:keepLines w:val="0"/>
        <w:pageBreakBefore w:val="0"/>
        <w:shd w:val="clear"/>
        <w:kinsoku/>
        <w:overflowPunct/>
        <w:topLinePunct w:val="0"/>
        <w:autoSpaceDE/>
        <w:autoSpaceDN/>
        <w:bidi w:val="0"/>
        <w:spacing w:line="560" w:lineRule="exact"/>
        <w:ind w:left="0" w:leftChars="0"/>
        <w:rPr>
          <w:rFonts w:ascii="华文仿宋" w:hAnsi="华文仿宋" w:eastAsia="华文仿宋" w:cs="华文仿宋"/>
          <w:sz w:val="28"/>
          <w:szCs w:val="28"/>
          <w:highlight w:val="none"/>
        </w:rPr>
      </w:pPr>
    </w:p>
    <w:p w14:paraId="5501C4C2">
      <w:pPr>
        <w:keepNext w:val="0"/>
        <w:keepLines w:val="0"/>
        <w:pageBreakBefore w:val="0"/>
        <w:shd w:val="clear"/>
        <w:kinsoku/>
        <w:overflowPunct/>
        <w:topLinePunct w:val="0"/>
        <w:autoSpaceDE/>
        <w:autoSpaceDN/>
        <w:bidi w:val="0"/>
        <w:spacing w:line="560" w:lineRule="exact"/>
        <w:ind w:left="0" w:leftChars="0" w:firstLine="1680" w:firstLineChars="600"/>
        <w:jc w:val="right"/>
        <w:rPr>
          <w:rFonts w:ascii="华文仿宋" w:hAnsi="华文仿宋" w:eastAsia="华文仿宋" w:cs="华文仿宋"/>
          <w:sz w:val="28"/>
          <w:szCs w:val="28"/>
          <w:highlight w:val="none"/>
          <w:shd w:val="clear" w:color="auto" w:fill="FFFFFF"/>
        </w:rPr>
      </w:pPr>
      <w:r>
        <w:rPr>
          <w:rFonts w:hint="eastAsia" w:ascii="华文仿宋" w:hAnsi="华文仿宋" w:eastAsia="华文仿宋" w:cs="华文仿宋"/>
          <w:kern w:val="2"/>
          <w:sz w:val="28"/>
          <w:szCs w:val="28"/>
          <w:highlight w:val="none"/>
          <w:shd w:val="clear" w:color="auto" w:fill="FFFFFF"/>
        </w:rPr>
        <w:t>签订日期：</w:t>
      </w:r>
      <w:r>
        <w:rPr>
          <w:rFonts w:hint="eastAsia" w:ascii="华文仿宋" w:hAnsi="华文仿宋" w:eastAsia="华文仿宋" w:cs="华文仿宋"/>
          <w:kern w:val="2"/>
          <w:sz w:val="28"/>
          <w:szCs w:val="28"/>
          <w:highlight w:val="none"/>
          <w:shd w:val="clear" w:color="auto" w:fill="FFFFFF"/>
          <w:lang w:val="en-US" w:eastAsia="zh-CN"/>
        </w:rPr>
        <w:t xml:space="preserve">   </w:t>
      </w:r>
      <w:r>
        <w:rPr>
          <w:rFonts w:hint="eastAsia" w:ascii="华文仿宋" w:hAnsi="华文仿宋" w:eastAsia="华文仿宋" w:cs="华文仿宋"/>
          <w:kern w:val="2"/>
          <w:sz w:val="28"/>
          <w:szCs w:val="28"/>
          <w:highlight w:val="none"/>
          <w:shd w:val="clear" w:color="auto" w:fill="FFFFFF"/>
        </w:rPr>
        <w:t xml:space="preserve"> 年</w:t>
      </w:r>
      <w:r>
        <w:rPr>
          <w:rFonts w:hint="eastAsia" w:ascii="华文仿宋" w:hAnsi="华文仿宋" w:eastAsia="华文仿宋" w:cs="华文仿宋"/>
          <w:kern w:val="2"/>
          <w:sz w:val="28"/>
          <w:szCs w:val="28"/>
          <w:highlight w:val="none"/>
          <w:shd w:val="clear" w:color="auto" w:fill="FFFFFF"/>
          <w:lang w:val="en-US" w:eastAsia="zh-CN"/>
        </w:rPr>
        <w:t xml:space="preserve">   </w:t>
      </w:r>
      <w:r>
        <w:rPr>
          <w:rFonts w:hint="eastAsia" w:ascii="华文仿宋" w:hAnsi="华文仿宋" w:eastAsia="华文仿宋" w:cs="华文仿宋"/>
          <w:kern w:val="2"/>
          <w:sz w:val="28"/>
          <w:szCs w:val="28"/>
          <w:highlight w:val="none"/>
          <w:shd w:val="clear" w:color="auto" w:fill="FFFFFF"/>
        </w:rPr>
        <w:t xml:space="preserve">月 </w:t>
      </w:r>
      <w:r>
        <w:rPr>
          <w:rFonts w:hint="eastAsia" w:ascii="华文仿宋" w:hAnsi="华文仿宋" w:eastAsia="华文仿宋" w:cs="华文仿宋"/>
          <w:kern w:val="2"/>
          <w:sz w:val="28"/>
          <w:szCs w:val="28"/>
          <w:highlight w:val="none"/>
          <w:shd w:val="clear" w:color="auto" w:fill="FFFFFF"/>
          <w:lang w:val="en-US" w:eastAsia="zh-CN"/>
        </w:rPr>
        <w:t xml:space="preserve"> </w:t>
      </w:r>
      <w:r>
        <w:rPr>
          <w:rFonts w:hint="eastAsia" w:ascii="华文仿宋" w:hAnsi="华文仿宋" w:eastAsia="华文仿宋" w:cs="华文仿宋"/>
          <w:kern w:val="2"/>
          <w:sz w:val="28"/>
          <w:szCs w:val="28"/>
          <w:highlight w:val="none"/>
          <w:shd w:val="clear" w:color="auto" w:fill="FFFFFF"/>
        </w:rPr>
        <w:t xml:space="preserve"> 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6D8C66E-4048-4265-8785-0D94903A2B2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B23D1D0B-F0A8-4D87-8C2B-26434CFC372A}"/>
  </w:font>
  <w:font w:name="仿宋">
    <w:panose1 w:val="02010609060101010101"/>
    <w:charset w:val="86"/>
    <w:family w:val="modern"/>
    <w:pitch w:val="default"/>
    <w:sig w:usb0="800002BF" w:usb1="38CF7CFA" w:usb2="00000016" w:usb3="00000000" w:csb0="00040001" w:csb1="00000000"/>
    <w:embedRegular r:id="rId3" w:fontKey="{5CF2AE50-4E95-455D-813B-0F43CB2CD8B7}"/>
  </w:font>
  <w:font w:name="华文仿宋">
    <w:panose1 w:val="02010600040101010101"/>
    <w:charset w:val="86"/>
    <w:family w:val="auto"/>
    <w:pitch w:val="default"/>
    <w:sig w:usb0="00000287" w:usb1="080F0000" w:usb2="00000000" w:usb3="00000000" w:csb0="0004009F" w:csb1="DFD70000"/>
    <w:embedRegular r:id="rId4" w:fontKey="{851CFE7F-58F5-42DF-BA45-AB9BA8AC23B9}"/>
  </w:font>
  <w:font w:name="仿宋_GB2312">
    <w:panose1 w:val="02010609030101010101"/>
    <w:charset w:val="86"/>
    <w:family w:val="auto"/>
    <w:pitch w:val="default"/>
    <w:sig w:usb0="00000001" w:usb1="080E0000" w:usb2="00000000" w:usb3="00000000" w:csb0="00040000" w:csb1="00000000"/>
    <w:embedRegular r:id="rId5" w:fontKey="{0E7135E9-D1E1-4A44-94A3-8B5153B8B914}"/>
  </w:font>
  <w:font w:name="等线">
    <w:altName w:val="Arial Unicode MS"/>
    <w:panose1 w:val="00000000000000000000"/>
    <w:charset w:val="00"/>
    <w:family w:val="auto"/>
    <w:pitch w:val="default"/>
    <w:sig w:usb0="00000000" w:usb1="00000000" w:usb2="00000000" w:usb3="00000000" w:csb0="00000000" w:csb1="00000000"/>
  </w:font>
  <w:font w:name="WPSEMBED1">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F79B">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1"/>
                            </w:rPr>
                            <w:id w:val="147481774"/>
                          </w:sdtPr>
                          <w:sdtEndPr>
                            <w:rPr>
                              <w:rStyle w:val="21"/>
                            </w:rPr>
                          </w:sdtEndPr>
                          <w:sdtContent>
                            <w:p w14:paraId="370125C9">
                              <w:pPr>
                                <w:pStyle w:val="13"/>
                                <w:rPr>
                                  <w:rStyle w:val="21"/>
                                </w:rPr>
                              </w:pPr>
                              <w:r>
                                <w:rPr>
                                  <w:rStyle w:val="21"/>
                                </w:rPr>
                                <w:fldChar w:fldCharType="begin"/>
                              </w:r>
                              <w:r>
                                <w:rPr>
                                  <w:rStyle w:val="21"/>
                                </w:rPr>
                                <w:instrText xml:space="preserve"> PAGE </w:instrText>
                              </w:r>
                              <w:r>
                                <w:rPr>
                                  <w:rStyle w:val="21"/>
                                </w:rPr>
                                <w:fldChar w:fldCharType="separate"/>
                              </w:r>
                              <w:r>
                                <w:rPr>
                                  <w:rStyle w:val="21"/>
                                </w:rPr>
                                <w:t>1</w:t>
                              </w:r>
                              <w:r>
                                <w:rPr>
                                  <w:rStyle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Style w:val="21"/>
                      </w:rPr>
                      <w:id w:val="147481774"/>
                    </w:sdtPr>
                    <w:sdtEndPr>
                      <w:rPr>
                        <w:rStyle w:val="21"/>
                      </w:rPr>
                    </w:sdtEndPr>
                    <w:sdtContent>
                      <w:p w14:paraId="370125C9">
                        <w:pPr>
                          <w:pStyle w:val="13"/>
                          <w:rPr>
                            <w:rStyle w:val="21"/>
                          </w:rPr>
                        </w:pPr>
                        <w:r>
                          <w:rPr>
                            <w:rStyle w:val="21"/>
                          </w:rPr>
                          <w:fldChar w:fldCharType="begin"/>
                        </w:r>
                        <w:r>
                          <w:rPr>
                            <w:rStyle w:val="21"/>
                          </w:rPr>
                          <w:instrText xml:space="preserve"> PAGE </w:instrText>
                        </w:r>
                        <w:r>
                          <w:rPr>
                            <w:rStyle w:val="21"/>
                          </w:rPr>
                          <w:fldChar w:fldCharType="separate"/>
                        </w:r>
                        <w:r>
                          <w:rPr>
                            <w:rStyle w:val="21"/>
                          </w:rPr>
                          <w:t>1</w:t>
                        </w:r>
                        <w:r>
                          <w:rPr>
                            <w:rStyle w:val="21"/>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88049992"/>
    </w:sdtPr>
    <w:sdtEndPr>
      <w:rPr>
        <w:rStyle w:val="21"/>
      </w:rPr>
    </w:sdtEndPr>
    <w:sdtContent>
      <w:p w14:paraId="6BE1E3D0">
        <w:pPr>
          <w:pStyle w:val="13"/>
          <w:framePr w:wrap="auto" w:vAnchor="text" w:hAnchor="margin" w:xAlign="right" w:y="1"/>
          <w:rPr>
            <w:rStyle w:val="21"/>
          </w:rPr>
        </w:pPr>
        <w:r>
          <w:rPr>
            <w:rStyle w:val="21"/>
          </w:rPr>
          <w:fldChar w:fldCharType="begin"/>
        </w:r>
        <w:r>
          <w:rPr>
            <w:rStyle w:val="21"/>
          </w:rPr>
          <w:instrText xml:space="preserve"> PAGE </w:instrText>
        </w:r>
        <w:r>
          <w:rPr>
            <w:rStyle w:val="21"/>
          </w:rPr>
          <w:fldChar w:fldCharType="separate"/>
        </w:r>
        <w:r>
          <w:rPr>
            <w:rStyle w:val="21"/>
          </w:rPr>
          <w:fldChar w:fldCharType="end"/>
        </w:r>
      </w:p>
    </w:sdtContent>
  </w:sdt>
  <w:p w14:paraId="53ED944E">
    <w:pPr>
      <w:pStyle w:val="1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99"/>
    <w:rsid w:val="000652B3"/>
    <w:rsid w:val="000B4B9B"/>
    <w:rsid w:val="00141E6B"/>
    <w:rsid w:val="00172388"/>
    <w:rsid w:val="00172CF3"/>
    <w:rsid w:val="001C32D8"/>
    <w:rsid w:val="001F1264"/>
    <w:rsid w:val="001F491D"/>
    <w:rsid w:val="0022754F"/>
    <w:rsid w:val="00237E07"/>
    <w:rsid w:val="00356071"/>
    <w:rsid w:val="0036208D"/>
    <w:rsid w:val="0038380B"/>
    <w:rsid w:val="003C7E30"/>
    <w:rsid w:val="003D3913"/>
    <w:rsid w:val="003F6037"/>
    <w:rsid w:val="00441F0D"/>
    <w:rsid w:val="004F3C2A"/>
    <w:rsid w:val="00526C99"/>
    <w:rsid w:val="00531672"/>
    <w:rsid w:val="00561F65"/>
    <w:rsid w:val="005C0526"/>
    <w:rsid w:val="005F6DB5"/>
    <w:rsid w:val="0068439F"/>
    <w:rsid w:val="006A2C73"/>
    <w:rsid w:val="00753532"/>
    <w:rsid w:val="007E0A96"/>
    <w:rsid w:val="00882454"/>
    <w:rsid w:val="008A1361"/>
    <w:rsid w:val="008D3E06"/>
    <w:rsid w:val="008F5CE9"/>
    <w:rsid w:val="0097297A"/>
    <w:rsid w:val="009B5CA2"/>
    <w:rsid w:val="00A03E39"/>
    <w:rsid w:val="00A408DF"/>
    <w:rsid w:val="00AA60AB"/>
    <w:rsid w:val="00B02CF8"/>
    <w:rsid w:val="00B05757"/>
    <w:rsid w:val="00B276DE"/>
    <w:rsid w:val="00BF506B"/>
    <w:rsid w:val="00C90D01"/>
    <w:rsid w:val="00D35DE7"/>
    <w:rsid w:val="00D812DC"/>
    <w:rsid w:val="00DE358A"/>
    <w:rsid w:val="00ED4750"/>
    <w:rsid w:val="00EF5F7B"/>
    <w:rsid w:val="00F03F5D"/>
    <w:rsid w:val="00F26C0B"/>
    <w:rsid w:val="00FB76DE"/>
    <w:rsid w:val="0314369E"/>
    <w:rsid w:val="06605FD1"/>
    <w:rsid w:val="070B300A"/>
    <w:rsid w:val="0B7439C8"/>
    <w:rsid w:val="0BB27EF8"/>
    <w:rsid w:val="0C8C0749"/>
    <w:rsid w:val="0CB15002"/>
    <w:rsid w:val="0CD81BE1"/>
    <w:rsid w:val="0D7116ED"/>
    <w:rsid w:val="0F39623B"/>
    <w:rsid w:val="0F9C5147"/>
    <w:rsid w:val="12CF3D10"/>
    <w:rsid w:val="15363948"/>
    <w:rsid w:val="16DB47A7"/>
    <w:rsid w:val="198567EB"/>
    <w:rsid w:val="1A3C5407"/>
    <w:rsid w:val="1BC26CE7"/>
    <w:rsid w:val="1C4C3A51"/>
    <w:rsid w:val="1D6474AB"/>
    <w:rsid w:val="1D9921EE"/>
    <w:rsid w:val="1E1660C5"/>
    <w:rsid w:val="1E431E06"/>
    <w:rsid w:val="21EB7868"/>
    <w:rsid w:val="23A811B5"/>
    <w:rsid w:val="26976E59"/>
    <w:rsid w:val="26DC3C24"/>
    <w:rsid w:val="26E31211"/>
    <w:rsid w:val="279D7A0D"/>
    <w:rsid w:val="28AD1D1C"/>
    <w:rsid w:val="2D6F5C56"/>
    <w:rsid w:val="32FF356C"/>
    <w:rsid w:val="33105381"/>
    <w:rsid w:val="33811DDB"/>
    <w:rsid w:val="342C582E"/>
    <w:rsid w:val="34675474"/>
    <w:rsid w:val="359E351B"/>
    <w:rsid w:val="35AE3040"/>
    <w:rsid w:val="368125F0"/>
    <w:rsid w:val="38C073F1"/>
    <w:rsid w:val="39D96310"/>
    <w:rsid w:val="3A0B20C4"/>
    <w:rsid w:val="3C0811B4"/>
    <w:rsid w:val="3C2D2B00"/>
    <w:rsid w:val="3D033D39"/>
    <w:rsid w:val="3E966B68"/>
    <w:rsid w:val="3EA4471C"/>
    <w:rsid w:val="4028295C"/>
    <w:rsid w:val="405D45A6"/>
    <w:rsid w:val="418A09F4"/>
    <w:rsid w:val="41F45E6E"/>
    <w:rsid w:val="42D322AC"/>
    <w:rsid w:val="433125CD"/>
    <w:rsid w:val="44C9538F"/>
    <w:rsid w:val="452847AC"/>
    <w:rsid w:val="456B4699"/>
    <w:rsid w:val="467077BB"/>
    <w:rsid w:val="46BB51AC"/>
    <w:rsid w:val="46BD2CD2"/>
    <w:rsid w:val="48BA396D"/>
    <w:rsid w:val="4B0435C5"/>
    <w:rsid w:val="4CE65480"/>
    <w:rsid w:val="4D147929"/>
    <w:rsid w:val="4D456312"/>
    <w:rsid w:val="4F794D58"/>
    <w:rsid w:val="4FF21EC8"/>
    <w:rsid w:val="504B75A0"/>
    <w:rsid w:val="5147420C"/>
    <w:rsid w:val="51DE1039"/>
    <w:rsid w:val="52B46BC7"/>
    <w:rsid w:val="52EF6909"/>
    <w:rsid w:val="5316709E"/>
    <w:rsid w:val="55004DFD"/>
    <w:rsid w:val="558D636D"/>
    <w:rsid w:val="577E46FF"/>
    <w:rsid w:val="581F73FD"/>
    <w:rsid w:val="58ED38EB"/>
    <w:rsid w:val="597726BB"/>
    <w:rsid w:val="5BA34735"/>
    <w:rsid w:val="5DA473F6"/>
    <w:rsid w:val="5DD238ED"/>
    <w:rsid w:val="5E1E639C"/>
    <w:rsid w:val="5E696553"/>
    <w:rsid w:val="5F0E0280"/>
    <w:rsid w:val="5FAB7198"/>
    <w:rsid w:val="606C77EB"/>
    <w:rsid w:val="608024AA"/>
    <w:rsid w:val="61B34820"/>
    <w:rsid w:val="628D4DB0"/>
    <w:rsid w:val="6314100E"/>
    <w:rsid w:val="65962C14"/>
    <w:rsid w:val="66340F76"/>
    <w:rsid w:val="6692787F"/>
    <w:rsid w:val="66D77856"/>
    <w:rsid w:val="67EB7247"/>
    <w:rsid w:val="693379DF"/>
    <w:rsid w:val="6A9D01F5"/>
    <w:rsid w:val="6AFC0C02"/>
    <w:rsid w:val="6B1E1176"/>
    <w:rsid w:val="6B222AA9"/>
    <w:rsid w:val="6CA30A4B"/>
    <w:rsid w:val="701A47B0"/>
    <w:rsid w:val="72041AD3"/>
    <w:rsid w:val="73C53042"/>
    <w:rsid w:val="756B594D"/>
    <w:rsid w:val="76624CB7"/>
    <w:rsid w:val="78643617"/>
    <w:rsid w:val="798D4602"/>
    <w:rsid w:val="79935991"/>
    <w:rsid w:val="79E4446E"/>
    <w:rsid w:val="7B845591"/>
    <w:rsid w:val="7B967351"/>
    <w:rsid w:val="7BD06A28"/>
    <w:rsid w:val="7E6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widowControl w:val="0"/>
      <w:spacing w:before="480" w:after="80" w:line="278" w:lineRule="auto"/>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25"/>
    <w:semiHidden/>
    <w:unhideWhenUsed/>
    <w:qFormat/>
    <w:uiPriority w:val="9"/>
    <w:pPr>
      <w:keepNext/>
      <w:keepLines/>
      <w:widowControl w:val="0"/>
      <w:spacing w:before="160" w:after="80" w:line="278" w:lineRule="auto"/>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26"/>
    <w:unhideWhenUsed/>
    <w:qFormat/>
    <w:uiPriority w:val="9"/>
    <w:pPr>
      <w:keepNext/>
      <w:keepLines/>
      <w:widowControl w:val="0"/>
      <w:spacing w:before="160" w:after="80" w:line="278" w:lineRule="auto"/>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27"/>
    <w:unhideWhenUsed/>
    <w:qFormat/>
    <w:uiPriority w:val="9"/>
    <w:pPr>
      <w:keepNext/>
      <w:keepLines/>
      <w:widowControl w:val="0"/>
      <w:spacing w:before="80" w:after="40" w:line="278" w:lineRule="auto"/>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28"/>
    <w:semiHidden/>
    <w:unhideWhenUsed/>
    <w:qFormat/>
    <w:uiPriority w:val="9"/>
    <w:pPr>
      <w:keepNext/>
      <w:keepLines/>
      <w:widowControl w:val="0"/>
      <w:spacing w:before="80" w:after="40" w:line="278" w:lineRule="auto"/>
      <w:outlineLvl w:val="4"/>
    </w:pPr>
    <w:rPr>
      <w:rFonts w:asciiTheme="minorHAnsi" w:hAnsiTheme="minorHAnsi" w:eastAsiaTheme="minorEastAsia" w:cstheme="majorBidi"/>
      <w:color w:val="104862" w:themeColor="accent1" w:themeShade="BF"/>
      <w:kern w:val="2"/>
      <w14:ligatures w14:val="standardContextual"/>
    </w:rPr>
  </w:style>
  <w:style w:type="paragraph" w:styleId="7">
    <w:name w:val="heading 6"/>
    <w:basedOn w:val="1"/>
    <w:next w:val="1"/>
    <w:link w:val="29"/>
    <w:semiHidden/>
    <w:unhideWhenUsed/>
    <w:qFormat/>
    <w:uiPriority w:val="9"/>
    <w:pPr>
      <w:keepNext/>
      <w:keepLines/>
      <w:widowControl w:val="0"/>
      <w:spacing w:before="40" w:line="278" w:lineRule="auto"/>
      <w:outlineLvl w:val="5"/>
    </w:pPr>
    <w:rPr>
      <w:rFonts w:asciiTheme="minorHAnsi" w:hAnsiTheme="minorHAnsi" w:eastAsiaTheme="minorEastAsia" w:cstheme="majorBidi"/>
      <w:b/>
      <w:bCs/>
      <w:color w:val="104862" w:themeColor="accent1" w:themeShade="BF"/>
      <w:kern w:val="2"/>
      <w:sz w:val="22"/>
      <w14:ligatures w14:val="standardContextual"/>
    </w:rPr>
  </w:style>
  <w:style w:type="paragraph" w:styleId="8">
    <w:name w:val="heading 7"/>
    <w:basedOn w:val="1"/>
    <w:next w:val="1"/>
    <w:link w:val="30"/>
    <w:semiHidden/>
    <w:unhideWhenUsed/>
    <w:qFormat/>
    <w:uiPriority w:val="9"/>
    <w:pPr>
      <w:keepNext/>
      <w:keepLines/>
      <w:widowControl w:val="0"/>
      <w:spacing w:before="40" w:line="278" w:lineRule="auto"/>
      <w:outlineLvl w:val="6"/>
    </w:pPr>
    <w:rPr>
      <w:rFonts w:asciiTheme="minorHAnsi" w:hAnsiTheme="minorHAnsi" w:eastAsiaTheme="minorEastAsia" w:cstheme="majorBidi"/>
      <w:b/>
      <w:bCs/>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semiHidden/>
    <w:unhideWhenUsed/>
    <w:qFormat/>
    <w:uiPriority w:val="99"/>
  </w:style>
  <w:style w:type="paragraph" w:styleId="13">
    <w:name w:val="footer"/>
    <w:basedOn w:val="1"/>
    <w:link w:val="43"/>
    <w:unhideWhenUsed/>
    <w:qFormat/>
    <w:uiPriority w:val="99"/>
    <w:pPr>
      <w:widowControl w:val="0"/>
      <w:tabs>
        <w:tab w:val="center" w:pos="4153"/>
        <w:tab w:val="right" w:pos="8306"/>
      </w:tabs>
      <w:snapToGrid w:val="0"/>
      <w:spacing w:after="160"/>
    </w:pPr>
    <w:rPr>
      <w:rFonts w:asciiTheme="minorHAnsi" w:hAnsiTheme="minorHAnsi" w:eastAsiaTheme="minorEastAsia" w:cstheme="minorBidi"/>
      <w:kern w:val="2"/>
      <w:sz w:val="18"/>
      <w:szCs w:val="18"/>
      <w14:ligatures w14:val="standardContextual"/>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Subtitle"/>
    <w:basedOn w:val="1"/>
    <w:next w:val="1"/>
    <w:link w:val="34"/>
    <w:qFormat/>
    <w:uiPriority w:val="11"/>
    <w:pPr>
      <w:widowControl w:val="0"/>
      <w:spacing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6">
    <w:name w:val="footnote text"/>
    <w:basedOn w:val="1"/>
    <w:link w:val="44"/>
    <w:semiHidden/>
    <w:unhideWhenUsed/>
    <w:qFormat/>
    <w:uiPriority w:val="99"/>
    <w:pPr>
      <w:widowControl w:val="0"/>
      <w:snapToGrid w:val="0"/>
      <w:spacing w:after="160" w:line="278" w:lineRule="auto"/>
    </w:pPr>
    <w:rPr>
      <w:rFonts w:asciiTheme="minorHAnsi" w:hAnsiTheme="minorHAnsi" w:eastAsiaTheme="minorEastAsia" w:cstheme="minorBidi"/>
      <w:kern w:val="2"/>
      <w:sz w:val="18"/>
      <w:szCs w:val="18"/>
      <w14:ligatures w14:val="standardContextual"/>
    </w:rPr>
  </w:style>
  <w:style w:type="paragraph" w:styleId="17">
    <w:name w:val="Title"/>
    <w:basedOn w:val="1"/>
    <w:next w:val="1"/>
    <w:link w:val="33"/>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20">
    <w:name w:val="Strong"/>
    <w:basedOn w:val="19"/>
    <w:qFormat/>
    <w:uiPriority w:val="22"/>
    <w:rPr>
      <w:b/>
      <w:bCs/>
    </w:rPr>
  </w:style>
  <w:style w:type="character" w:styleId="21">
    <w:name w:val="page number"/>
    <w:basedOn w:val="19"/>
    <w:semiHidden/>
    <w:unhideWhenUsed/>
    <w:qFormat/>
    <w:uiPriority w:val="99"/>
  </w:style>
  <w:style w:type="character" w:styleId="22">
    <w:name w:val="footnote reference"/>
    <w:basedOn w:val="19"/>
    <w:semiHidden/>
    <w:unhideWhenUsed/>
    <w:qFormat/>
    <w:uiPriority w:val="99"/>
    <w:rPr>
      <w:vertAlign w:val="superscript"/>
    </w:rPr>
  </w:style>
  <w:style w:type="paragraph" w:customStyle="1" w:styleId="23">
    <w:name w:val="ToCaption"/>
    <w:basedOn w:val="1"/>
    <w:next w:val="1"/>
    <w:qFormat/>
    <w:uiPriority w:val="0"/>
    <w:pPr>
      <w:widowControl w:val="0"/>
      <w:spacing w:after="160" w:line="278" w:lineRule="auto"/>
      <w:ind w:left="200" w:leftChars="200" w:hanging="200" w:hangingChars="200"/>
      <w:jc w:val="both"/>
      <w:textAlignment w:val="baseline"/>
    </w:pPr>
    <w:rPr>
      <w:rFonts w:asciiTheme="minorHAnsi" w:hAnsiTheme="minorHAnsi" w:eastAsiaTheme="minorEastAsia" w:cstheme="minorBidi"/>
      <w:kern w:val="2"/>
      <w:sz w:val="22"/>
      <w14:ligatures w14:val="standardContextual"/>
    </w:rPr>
  </w:style>
  <w:style w:type="character" w:customStyle="1" w:styleId="24">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19"/>
    <w:link w:val="4"/>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19"/>
    <w:link w:val="5"/>
    <w:qFormat/>
    <w:uiPriority w:val="9"/>
    <w:rPr>
      <w:rFonts w:cstheme="majorBidi"/>
      <w:color w:val="104862" w:themeColor="accent1" w:themeShade="BF"/>
      <w:sz w:val="28"/>
      <w:szCs w:val="28"/>
    </w:rPr>
  </w:style>
  <w:style w:type="character" w:customStyle="1" w:styleId="28">
    <w:name w:val="标题 5 字符"/>
    <w:basedOn w:val="19"/>
    <w:link w:val="6"/>
    <w:semiHidden/>
    <w:qFormat/>
    <w:uiPriority w:val="9"/>
    <w:rPr>
      <w:rFonts w:cstheme="majorBidi"/>
      <w:color w:val="104862" w:themeColor="accent1" w:themeShade="BF"/>
      <w:sz w:val="24"/>
    </w:rPr>
  </w:style>
  <w:style w:type="character" w:customStyle="1" w:styleId="29">
    <w:name w:val="标题 6 字符"/>
    <w:basedOn w:val="19"/>
    <w:link w:val="7"/>
    <w:semiHidden/>
    <w:qFormat/>
    <w:uiPriority w:val="9"/>
    <w:rPr>
      <w:rFonts w:cstheme="majorBidi"/>
      <w:b/>
      <w:bCs/>
      <w:color w:val="104862"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widowControl w:val="0"/>
      <w:spacing w:before="160" w:after="160" w:line="278" w:lineRule="auto"/>
      <w:jc w:val="center"/>
    </w:pPr>
    <w:rPr>
      <w:rFonts w:asciiTheme="minorHAnsi" w:hAnsiTheme="minorHAnsi" w:eastAsiaTheme="minorEastAsia" w:cstheme="minorBidi"/>
      <w:i/>
      <w:iCs/>
      <w:color w:val="404040" w:themeColor="text1" w:themeTint="BF"/>
      <w:kern w:val="2"/>
      <w:sz w:val="22"/>
      <w14:textFill>
        <w14:solidFill>
          <w14:schemeClr w14:val="tx1">
            <w14:lumMod w14:val="75000"/>
            <w14:lumOff w14:val="25000"/>
          </w14:schemeClr>
        </w14:solidFill>
      </w14:textFill>
      <w14:ligatures w14:val="standardContextua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widowControl w:val="0"/>
      <w:spacing w:after="160" w:line="278" w:lineRule="auto"/>
      <w:ind w:left="720"/>
      <w:contextualSpacing/>
    </w:pPr>
    <w:rPr>
      <w:rFonts w:asciiTheme="minorHAnsi" w:hAnsiTheme="minorHAnsi" w:eastAsiaTheme="minorEastAsia" w:cstheme="minorBidi"/>
      <w:kern w:val="2"/>
      <w:sz w:val="22"/>
      <w14:ligatures w14:val="standardContextual"/>
    </w:rPr>
  </w:style>
  <w:style w:type="character" w:customStyle="1" w:styleId="38">
    <w:name w:val="明显强调1"/>
    <w:basedOn w:val="19"/>
    <w:qFormat/>
    <w:uiPriority w:val="21"/>
    <w:rPr>
      <w:i/>
      <w:iCs/>
      <w:color w:val="104862" w:themeColor="accent1" w:themeShade="BF"/>
    </w:rPr>
  </w:style>
  <w:style w:type="paragraph" w:styleId="39">
    <w:name w:val="Intense Quote"/>
    <w:basedOn w:val="1"/>
    <w:next w:val="1"/>
    <w:link w:val="40"/>
    <w:qFormat/>
    <w:uiPriority w:val="30"/>
    <w:pPr>
      <w:widowControl w:val="0"/>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kern w:val="2"/>
      <w:sz w:val="22"/>
      <w14:ligatures w14:val="standardContextual"/>
    </w:rPr>
  </w:style>
  <w:style w:type="character" w:customStyle="1" w:styleId="40">
    <w:name w:val="明显引用 字符"/>
    <w:basedOn w:val="19"/>
    <w:link w:val="39"/>
    <w:qFormat/>
    <w:uiPriority w:val="30"/>
    <w:rPr>
      <w:i/>
      <w:iCs/>
      <w:color w:val="104862" w:themeColor="accent1" w:themeShade="BF"/>
    </w:rPr>
  </w:style>
  <w:style w:type="character" w:customStyle="1" w:styleId="41">
    <w:name w:val="明显参考1"/>
    <w:basedOn w:val="19"/>
    <w:qFormat/>
    <w:uiPriority w:val="32"/>
    <w:rPr>
      <w:b/>
      <w:bCs/>
      <w:smallCaps/>
      <w:color w:val="104862" w:themeColor="accent1" w:themeShade="BF"/>
      <w:spacing w:val="5"/>
    </w:rPr>
  </w:style>
  <w:style w:type="paragraph" w:customStyle="1" w:styleId="42">
    <w:name w:val="ds-markdown-paragraph"/>
    <w:basedOn w:val="1"/>
    <w:qFormat/>
    <w:uiPriority w:val="0"/>
    <w:pPr>
      <w:spacing w:before="100" w:beforeAutospacing="1" w:after="100" w:afterAutospacing="1"/>
    </w:pPr>
  </w:style>
  <w:style w:type="character" w:customStyle="1" w:styleId="43">
    <w:name w:val="页脚 字符"/>
    <w:basedOn w:val="19"/>
    <w:link w:val="13"/>
    <w:qFormat/>
    <w:uiPriority w:val="99"/>
    <w:rPr>
      <w:sz w:val="18"/>
      <w:szCs w:val="18"/>
    </w:rPr>
  </w:style>
  <w:style w:type="character" w:customStyle="1" w:styleId="44">
    <w:name w:val="脚注文本 字符"/>
    <w:basedOn w:val="19"/>
    <w:link w:val="16"/>
    <w:semiHidden/>
    <w:qFormat/>
    <w:uiPriority w:val="99"/>
    <w:rPr>
      <w:sz w:val="18"/>
      <w:szCs w:val="18"/>
    </w:rPr>
  </w:style>
  <w:style w:type="paragraph" w:customStyle="1" w:styleId="45">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table" w:customStyle="1" w:styleId="46">
    <w:name w:val="网格型浅色1"/>
    <w:basedOn w:val="1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7">
    <w:name w:val="Revision"/>
    <w:hidden/>
    <w:unhideWhenUsed/>
    <w:qFormat/>
    <w:uiPriority w:val="99"/>
    <w:rPr>
      <w:rFonts w:ascii="宋体" w:hAnsi="宋体" w:eastAsia="宋体" w:cs="宋体"/>
      <w:sz w:val="24"/>
      <w:szCs w:val="24"/>
      <w:lang w:val="en-US" w:eastAsia="zh-CN" w:bidi="ar-SA"/>
    </w:rPr>
  </w:style>
  <w:style w:type="table" w:customStyle="1" w:styleId="48">
    <w:name w:val="Plain Table 3"/>
    <w:basedOn w:val="1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9">
    <w:name w:val="Plain Table 1"/>
    <w:basedOn w:val="1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4143</Words>
  <Characters>4764</Characters>
  <Lines>39</Lines>
  <Paragraphs>11</Paragraphs>
  <TotalTime>16</TotalTime>
  <ScaleCrop>false</ScaleCrop>
  <LinksUpToDate>false</LinksUpToDate>
  <CharactersWithSpaces>4812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2026-03-16T03:38:00Z</dcterms:created>
  <dc:creator>Yan Fu</dc:creator>
  <cp:lastModifiedBy>寇飞</cp:lastModifiedBy>
  <cp:lastPrinted>2025-12-15T05:08:00Z</cp:lastPrinted>
  <dcterms:modified xsi:type="dcterms:W3CDTF">2026-04-14T08:58:30Z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eyJoZGlkIjoiZGQxYzQ4NDk0ZDgwYzNmMDY4Mzg0OTljYjJlODE2ZTEiLCJ1c2VySWQiOiIzNTU0MTYxMDIifQ==</vt:lpwstr>
  </property>
  <property fmtid="{D5CDD505-2E9C-101B-9397-08002B2CF9AE}" pid="3" name="KSOProductBuildVer">
    <vt:lpwstr>2052-12.1.0.25225</vt:lpwstr>
  </property>
  <property fmtid="{D5CDD505-2E9C-101B-9397-08002B2CF9AE}" pid="4" name="ICV">
    <vt:lpwstr>6E30AC56A0B84EDB992D95631BCAB195_13</vt:lpwstr>
  </property>
</Properties>
</file>